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FFF5" w14:textId="77777777" w:rsidR="00677C8D" w:rsidRDefault="00EE1935" w:rsidP="00677C8D">
      <w:pPr>
        <w:pStyle w:val="BodyText"/>
        <w:spacing w:after="0" w:line="298" w:lineRule="auto"/>
        <w:ind w:right="-6"/>
        <w:jc w:val="center"/>
        <w:rPr>
          <w:rFonts w:eastAsia="Tahoma"/>
          <w:b/>
          <w:bCs/>
          <w:sz w:val="22"/>
          <w:szCs w:val="22"/>
        </w:rPr>
      </w:pPr>
      <w:r w:rsidRPr="4E29360B">
        <w:rPr>
          <w:rFonts w:eastAsia="Tahoma"/>
          <w:b/>
          <w:bCs/>
          <w:sz w:val="22"/>
          <w:szCs w:val="22"/>
        </w:rPr>
        <w:t xml:space="preserve">ΕΝΤΥΠΟ </w:t>
      </w:r>
      <w:r w:rsidR="64ED4D61" w:rsidRPr="4E29360B">
        <w:rPr>
          <w:rFonts w:eastAsia="Tahoma"/>
          <w:b/>
          <w:bCs/>
          <w:sz w:val="22"/>
          <w:szCs w:val="22"/>
        </w:rPr>
        <w:t xml:space="preserve">ΕΠΙΣΤΟΛΙΚΗΣ ΨΗΦΟΥ </w:t>
      </w:r>
      <w:r w:rsidR="00813651" w:rsidRPr="4E29360B">
        <w:rPr>
          <w:rFonts w:eastAsia="Tahoma"/>
          <w:b/>
          <w:bCs/>
          <w:sz w:val="22"/>
          <w:szCs w:val="22"/>
        </w:rPr>
        <w:t>ΓΙΑ ΤΗ</w:t>
      </w:r>
      <w:r w:rsidR="001460C6" w:rsidRPr="4E29360B">
        <w:rPr>
          <w:rFonts w:eastAsia="Tahoma"/>
          <w:b/>
          <w:bCs/>
          <w:sz w:val="22"/>
          <w:szCs w:val="22"/>
        </w:rPr>
        <w:t xml:space="preserve">Ν ΕΞ ΑΠΟΣΤΑΣΕΩΣ </w:t>
      </w:r>
      <w:r w:rsidR="6964CD87" w:rsidRPr="4E29360B">
        <w:rPr>
          <w:rFonts w:eastAsia="Tahoma"/>
          <w:b/>
          <w:bCs/>
          <w:sz w:val="22"/>
          <w:szCs w:val="22"/>
        </w:rPr>
        <w:t xml:space="preserve">ΨΗΦΟΦΟΡΙΑ </w:t>
      </w:r>
      <w:r w:rsidR="00677C8D" w:rsidRPr="4E29360B">
        <w:rPr>
          <w:rFonts w:eastAsia="Tahoma"/>
          <w:b/>
          <w:bCs/>
          <w:sz w:val="22"/>
          <w:szCs w:val="22"/>
        </w:rPr>
        <w:t xml:space="preserve">ΓΙΑ ΤΗΝ </w:t>
      </w:r>
      <w:r w:rsidR="00677C8D">
        <w:rPr>
          <w:rFonts w:eastAsia="Tahoma"/>
          <w:b/>
          <w:bCs/>
          <w:sz w:val="22"/>
          <w:szCs w:val="22"/>
        </w:rPr>
        <w:t xml:space="preserve">ΣΥΝΕΛΕΥΣΗ ΤΩΝ ΟΜΟΛΟΓΙΟΥΧΩΝ ΔΑΝΕΙΣΤΩΝ </w:t>
      </w:r>
    </w:p>
    <w:p w14:paraId="64EE2D2C" w14:textId="77777777" w:rsidR="00677C8D" w:rsidRDefault="00677C8D" w:rsidP="00677C8D">
      <w:pPr>
        <w:pStyle w:val="BodyText"/>
        <w:spacing w:after="0" w:line="298" w:lineRule="auto"/>
        <w:ind w:right="-6"/>
        <w:jc w:val="center"/>
        <w:rPr>
          <w:rStyle w:val="BodyTextChar"/>
          <w:b/>
          <w:bCs/>
          <w:color w:val="000000"/>
        </w:rPr>
      </w:pPr>
      <w:r>
        <w:rPr>
          <w:rStyle w:val="BodyTextChar"/>
          <w:b/>
          <w:bCs/>
          <w:color w:val="000000"/>
        </w:rPr>
        <w:t xml:space="preserve">(εφεξής οι «Ομολογιούχοι») του κοινού ομολογιακού </w:t>
      </w:r>
    </w:p>
    <w:p w14:paraId="2047E2A7" w14:textId="77777777" w:rsidR="00677C8D" w:rsidRDefault="00677C8D" w:rsidP="00677C8D">
      <w:pPr>
        <w:pStyle w:val="BodyText"/>
        <w:spacing w:after="0" w:line="298" w:lineRule="auto"/>
        <w:ind w:right="-6"/>
        <w:jc w:val="center"/>
        <w:rPr>
          <w:rStyle w:val="BodyTextChar"/>
          <w:b/>
          <w:bCs/>
          <w:color w:val="000000"/>
        </w:rPr>
      </w:pPr>
      <w:r>
        <w:rPr>
          <w:rStyle w:val="BodyTextChar"/>
          <w:b/>
          <w:bCs/>
          <w:color w:val="000000"/>
        </w:rPr>
        <w:t xml:space="preserve">δανείου ποσού €100.000.000 (εφεξής το «ΚΟΔ») που εξέδωσε η </w:t>
      </w:r>
    </w:p>
    <w:p w14:paraId="00CEE934" w14:textId="77777777" w:rsidR="00677C8D" w:rsidRDefault="00677C8D" w:rsidP="00677C8D">
      <w:pPr>
        <w:pStyle w:val="BodyText"/>
        <w:spacing w:after="0" w:line="298" w:lineRule="auto"/>
        <w:ind w:right="-6"/>
        <w:jc w:val="center"/>
        <w:rPr>
          <w:rStyle w:val="BodyTextChar"/>
          <w:b/>
          <w:bCs/>
          <w:color w:val="000000"/>
          <w:lang w:eastAsia="en-US" w:bidi="en-US"/>
        </w:rPr>
      </w:pPr>
      <w:r w:rsidRPr="00DF4B06">
        <w:rPr>
          <w:rStyle w:val="BodyTextChar"/>
          <w:b/>
          <w:bCs/>
          <w:color w:val="000000"/>
          <w:lang w:eastAsia="en-US" w:bidi="en-US"/>
        </w:rPr>
        <w:t>«</w:t>
      </w:r>
      <w:r w:rsidRPr="00C90975">
        <w:rPr>
          <w:rStyle w:val="BodyTextChar"/>
          <w:b/>
          <w:bCs/>
          <w:color w:val="000000"/>
          <w:lang w:val="en-US" w:eastAsia="en-US" w:bidi="en-US"/>
        </w:rPr>
        <w:t>IDEAL</w:t>
      </w:r>
      <w:r w:rsidRPr="00DF4B06">
        <w:rPr>
          <w:rStyle w:val="BodyTextChar"/>
          <w:b/>
          <w:bCs/>
          <w:color w:val="000000"/>
          <w:lang w:eastAsia="en-US" w:bidi="en-US"/>
        </w:rPr>
        <w:t xml:space="preserve"> </w:t>
      </w:r>
      <w:r w:rsidRPr="00C90975">
        <w:rPr>
          <w:rStyle w:val="BodyTextChar"/>
          <w:b/>
          <w:bCs/>
          <w:color w:val="000000"/>
          <w:lang w:val="en-US" w:eastAsia="en-US" w:bidi="en-US"/>
        </w:rPr>
        <w:t>HOLDINGS</w:t>
      </w:r>
      <w:r w:rsidRPr="00DF4B06">
        <w:rPr>
          <w:rStyle w:val="BodyTextChar"/>
          <w:b/>
          <w:bCs/>
          <w:color w:val="000000"/>
          <w:lang w:eastAsia="en-US" w:bidi="en-US"/>
        </w:rPr>
        <w:t xml:space="preserve"> </w:t>
      </w:r>
      <w:r>
        <w:rPr>
          <w:rStyle w:val="BodyTextChar"/>
          <w:b/>
          <w:bCs/>
          <w:color w:val="000000"/>
          <w:lang w:eastAsia="en-US" w:bidi="en-US"/>
        </w:rPr>
        <w:t>Α</w:t>
      </w:r>
      <w:r w:rsidRPr="00DF4B06">
        <w:rPr>
          <w:rStyle w:val="BodyTextChar"/>
          <w:b/>
          <w:bCs/>
          <w:color w:val="000000"/>
          <w:lang w:eastAsia="en-US" w:bidi="en-US"/>
        </w:rPr>
        <w:t>.</w:t>
      </w:r>
      <w:r>
        <w:rPr>
          <w:rStyle w:val="BodyTextChar"/>
          <w:b/>
          <w:bCs/>
          <w:color w:val="000000"/>
          <w:lang w:eastAsia="en-US" w:bidi="en-US"/>
        </w:rPr>
        <w:t>Ε</w:t>
      </w:r>
      <w:r w:rsidRPr="00DF4B06">
        <w:rPr>
          <w:rStyle w:val="BodyTextChar"/>
          <w:b/>
          <w:bCs/>
          <w:color w:val="000000"/>
          <w:lang w:eastAsia="en-US" w:bidi="en-US"/>
        </w:rPr>
        <w:t xml:space="preserve">.» </w:t>
      </w:r>
      <w:r>
        <w:rPr>
          <w:rStyle w:val="BodyTextChar"/>
          <w:b/>
          <w:bCs/>
          <w:color w:val="000000"/>
          <w:lang w:eastAsia="en-US" w:bidi="en-US"/>
        </w:rPr>
        <w:t>(εφεξής η «Εταιρεία» ) με</w:t>
      </w:r>
      <w:r w:rsidRPr="00DF4B06">
        <w:rPr>
          <w:rStyle w:val="BodyTextChar"/>
          <w:b/>
          <w:bCs/>
          <w:color w:val="000000"/>
          <w:lang w:eastAsia="en-US" w:bidi="en-US"/>
        </w:rPr>
        <w:t xml:space="preserve"> </w:t>
      </w:r>
      <w:r w:rsidRPr="00C90975">
        <w:rPr>
          <w:rStyle w:val="BodyTextChar"/>
          <w:b/>
          <w:bCs/>
          <w:color w:val="000000"/>
        </w:rPr>
        <w:t>Αρ</w:t>
      </w:r>
      <w:r w:rsidRPr="00DF4B06">
        <w:rPr>
          <w:rStyle w:val="BodyTextChar"/>
          <w:b/>
          <w:bCs/>
          <w:color w:val="000000"/>
        </w:rPr>
        <w:t xml:space="preserve">. </w:t>
      </w:r>
      <w:r w:rsidRPr="00C90975">
        <w:rPr>
          <w:rStyle w:val="BodyTextChar"/>
          <w:b/>
          <w:bCs/>
          <w:color w:val="000000"/>
        </w:rPr>
        <w:t>Γ</w:t>
      </w:r>
      <w:r w:rsidRPr="00DF4B06">
        <w:rPr>
          <w:rStyle w:val="BodyTextChar"/>
          <w:b/>
          <w:bCs/>
          <w:color w:val="000000"/>
        </w:rPr>
        <w:t>.</w:t>
      </w:r>
      <w:r w:rsidRPr="00C90975">
        <w:rPr>
          <w:rStyle w:val="BodyTextChar"/>
          <w:b/>
          <w:bCs/>
          <w:color w:val="000000"/>
        </w:rPr>
        <w:t>Ε</w:t>
      </w:r>
      <w:r w:rsidRPr="00DF4B06">
        <w:rPr>
          <w:rStyle w:val="BodyTextChar"/>
          <w:b/>
          <w:bCs/>
          <w:color w:val="000000"/>
        </w:rPr>
        <w:t>.</w:t>
      </w:r>
      <w:r w:rsidRPr="00C90975">
        <w:rPr>
          <w:rStyle w:val="BodyTextChar"/>
          <w:b/>
          <w:bCs/>
          <w:color w:val="000000"/>
        </w:rPr>
        <w:t>ΜΗ</w:t>
      </w:r>
      <w:r w:rsidRPr="00DF4B06">
        <w:rPr>
          <w:rStyle w:val="BodyTextChar"/>
          <w:b/>
          <w:bCs/>
          <w:color w:val="000000"/>
        </w:rPr>
        <w:t xml:space="preserve">. </w:t>
      </w:r>
      <w:r w:rsidRPr="00DF4B06">
        <w:rPr>
          <w:rStyle w:val="BodyTextChar"/>
          <w:b/>
          <w:bCs/>
          <w:color w:val="000000"/>
          <w:lang w:eastAsia="en-US" w:bidi="en-US"/>
        </w:rPr>
        <w:t xml:space="preserve">000279401000 </w:t>
      </w:r>
    </w:p>
    <w:p w14:paraId="1CD51CC6" w14:textId="77777777" w:rsidR="00677C8D" w:rsidRPr="00DF4B06" w:rsidRDefault="00677C8D" w:rsidP="00677C8D">
      <w:pPr>
        <w:pStyle w:val="BodyText"/>
        <w:spacing w:after="0" w:line="298" w:lineRule="auto"/>
        <w:ind w:right="-6"/>
        <w:jc w:val="center"/>
      </w:pPr>
      <w:r>
        <w:rPr>
          <w:rStyle w:val="BodyTextChar"/>
          <w:b/>
          <w:bCs/>
          <w:color w:val="000000"/>
          <w:lang w:eastAsia="en-US" w:bidi="en-US"/>
        </w:rPr>
        <w:t>δυνάμει του από 15.12.2023 Προγράμματος Έκδοσης Κοινού Ομολογιακού Δανείου έως €100.000.000 και Σύμβασης Ορισμού Εκπροσώπου των Ομολογιούχων (εφεξής το «Πρόγραμμα ΚΟΔ»)</w:t>
      </w:r>
    </w:p>
    <w:p w14:paraId="00000004" w14:textId="36BDAA34" w:rsidR="00BA762E" w:rsidRPr="004B23D9" w:rsidRDefault="00BA762E" w:rsidP="00677C8D">
      <w:pPr>
        <w:spacing w:line="259" w:lineRule="auto"/>
        <w:jc w:val="center"/>
        <w:rPr>
          <w:rFonts w:ascii="Calibri" w:eastAsia="Tahoma" w:hAnsi="Calibri" w:cs="Calibri"/>
          <w:sz w:val="22"/>
          <w:szCs w:val="22"/>
        </w:rPr>
      </w:pPr>
    </w:p>
    <w:p w14:paraId="00000005" w14:textId="49A183ED" w:rsidR="00BA762E" w:rsidRPr="008653EB" w:rsidRDefault="003E47B8" w:rsidP="00CE3F15">
      <w:pPr>
        <w:jc w:val="both"/>
        <w:rPr>
          <w:rFonts w:ascii="Calibri" w:eastAsia="Tahoma" w:hAnsi="Calibri" w:cs="Calibri"/>
          <w:sz w:val="22"/>
          <w:szCs w:val="22"/>
        </w:rPr>
      </w:pPr>
      <w:r w:rsidRPr="004B23D9">
        <w:rPr>
          <w:rFonts w:ascii="Calibri" w:eastAsia="Tahoma" w:hAnsi="Calibri" w:cs="Calibri"/>
          <w:sz w:val="22"/>
          <w:szCs w:val="22"/>
        </w:rPr>
        <w:t xml:space="preserve">Ο υπογράφων </w:t>
      </w:r>
      <w:r w:rsidR="00610BE0">
        <w:rPr>
          <w:rFonts w:ascii="Calibri" w:eastAsia="Tahoma" w:hAnsi="Calibri" w:cs="Calibri"/>
          <w:sz w:val="22"/>
          <w:szCs w:val="22"/>
        </w:rPr>
        <w:t>Ομολογιούχος</w:t>
      </w:r>
      <w:r w:rsidR="00690352" w:rsidRPr="004B23D9">
        <w:rPr>
          <w:rFonts w:ascii="Calibri" w:eastAsia="Tahoma" w:hAnsi="Calibri" w:cs="Calibri"/>
          <w:sz w:val="22"/>
          <w:szCs w:val="22"/>
        </w:rPr>
        <w:t xml:space="preserve">/ νόμιμος εκπρόσωπος </w:t>
      </w:r>
      <w:r w:rsidR="00610BE0">
        <w:rPr>
          <w:rFonts w:ascii="Calibri" w:eastAsia="Tahoma" w:hAnsi="Calibri" w:cs="Calibri"/>
          <w:sz w:val="22"/>
          <w:szCs w:val="22"/>
        </w:rPr>
        <w:t xml:space="preserve">Ομολογιούχου </w:t>
      </w:r>
      <w:r w:rsidR="00690352" w:rsidRPr="004B23D9">
        <w:rPr>
          <w:rFonts w:ascii="Calibri" w:eastAsia="Tahoma" w:hAnsi="Calibri" w:cs="Calibri"/>
          <w:sz w:val="22"/>
          <w:szCs w:val="22"/>
        </w:rPr>
        <w:t xml:space="preserve">της Εταιρείας </w:t>
      </w:r>
      <w:r w:rsidR="00CE3F15" w:rsidRPr="004B23D9">
        <w:rPr>
          <w:rStyle w:val="normaltextrun"/>
          <w:rFonts w:ascii="Calibri" w:hAnsi="Calibri" w:cs="Calibri"/>
          <w:color w:val="000000"/>
          <w:sz w:val="22"/>
          <w:szCs w:val="22"/>
          <w:bdr w:val="none" w:sz="0" w:space="0" w:color="auto" w:frame="1"/>
        </w:rPr>
        <w:t>"</w:t>
      </w:r>
      <w:r w:rsidR="00CE3F15">
        <w:rPr>
          <w:rStyle w:val="normaltextrun"/>
          <w:rFonts w:ascii="Calibri" w:hAnsi="Calibri" w:cs="Calibri"/>
          <w:b/>
          <w:bCs/>
          <w:color w:val="000000"/>
          <w:sz w:val="22"/>
          <w:szCs w:val="22"/>
          <w:shd w:val="clear" w:color="auto" w:fill="FFFFFF"/>
        </w:rPr>
        <w:t>IDEAL HOLDINGS Α</w:t>
      </w:r>
      <w:r w:rsidR="00CE3F15" w:rsidRPr="0041116D">
        <w:rPr>
          <w:rStyle w:val="normaltextrun"/>
          <w:rFonts w:ascii="Calibri" w:hAnsi="Calibri" w:cs="Calibri"/>
          <w:b/>
          <w:bCs/>
          <w:color w:val="000000"/>
          <w:sz w:val="22"/>
          <w:szCs w:val="22"/>
          <w:shd w:val="clear" w:color="auto" w:fill="FFFFFF"/>
        </w:rPr>
        <w:t>.</w:t>
      </w:r>
      <w:r w:rsidR="00CE3F15">
        <w:rPr>
          <w:rStyle w:val="normaltextrun"/>
          <w:rFonts w:ascii="Calibri" w:hAnsi="Calibri" w:cs="Calibri"/>
          <w:b/>
          <w:bCs/>
          <w:color w:val="000000"/>
          <w:sz w:val="22"/>
          <w:szCs w:val="22"/>
          <w:shd w:val="clear" w:color="auto" w:fill="FFFFFF"/>
        </w:rPr>
        <w:t>Ε</w:t>
      </w:r>
      <w:r w:rsidR="00CE3F15" w:rsidRPr="004B23D9">
        <w:rPr>
          <w:rStyle w:val="normaltextrun"/>
          <w:rFonts w:ascii="Calibri" w:hAnsi="Calibri" w:cs="Calibri"/>
          <w:color w:val="000000"/>
          <w:sz w:val="22"/>
          <w:szCs w:val="22"/>
          <w:bdr w:val="none" w:sz="0" w:space="0" w:color="auto" w:frame="1"/>
        </w:rPr>
        <w:t>"</w:t>
      </w:r>
      <w:r w:rsidR="00CE3F15" w:rsidRPr="34967FFE">
        <w:rPr>
          <w:rFonts w:ascii="Calibri" w:eastAsia="Calibri" w:hAnsi="Calibri" w:cs="Calibri"/>
          <w:color w:val="000000" w:themeColor="text1"/>
          <w:sz w:val="22"/>
          <w:szCs w:val="22"/>
          <w:lang w:val="el"/>
        </w:rPr>
        <w:t xml:space="preserve"> </w:t>
      </w:r>
      <w:r w:rsidR="008653EB">
        <w:rPr>
          <w:rStyle w:val="normaltextrun"/>
          <w:rFonts w:ascii="Calibri" w:hAnsi="Calibri" w:cs="Calibri"/>
          <w:color w:val="000000"/>
          <w:sz w:val="22"/>
          <w:szCs w:val="22"/>
          <w:bdr w:val="none" w:sz="0" w:space="0" w:color="auto" w:frame="1"/>
        </w:rPr>
        <w:t xml:space="preserve">(η </w:t>
      </w:r>
      <w:r w:rsidR="008653EB" w:rsidRPr="008653EB">
        <w:rPr>
          <w:rStyle w:val="normaltextrun"/>
          <w:rFonts w:ascii="Calibri" w:hAnsi="Calibri" w:cs="Calibri"/>
          <w:color w:val="000000"/>
          <w:sz w:val="22"/>
          <w:szCs w:val="22"/>
          <w:bdr w:val="none" w:sz="0" w:space="0" w:color="auto" w:frame="1"/>
        </w:rPr>
        <w:t>“</w:t>
      </w:r>
      <w:r w:rsidR="008653EB">
        <w:rPr>
          <w:rStyle w:val="normaltextrun"/>
          <w:rFonts w:ascii="Calibri" w:hAnsi="Calibri" w:cs="Calibri"/>
          <w:color w:val="000000"/>
          <w:sz w:val="22"/>
          <w:szCs w:val="22"/>
          <w:bdr w:val="none" w:sz="0" w:space="0" w:color="auto" w:frame="1"/>
        </w:rPr>
        <w:t>Εταιρεία</w:t>
      </w:r>
      <w:r w:rsidR="008653EB" w:rsidRPr="008653EB">
        <w:rPr>
          <w:rStyle w:val="normaltextrun"/>
          <w:rFonts w:ascii="Calibri" w:hAnsi="Calibri" w:cs="Calibri"/>
          <w:color w:val="000000"/>
          <w:sz w:val="22"/>
          <w:szCs w:val="22"/>
          <w:bdr w:val="none" w:sz="0" w:space="0" w:color="auto" w:frame="1"/>
        </w:rPr>
        <w:t>”)</w:t>
      </w:r>
      <w:r w:rsidR="00D8718B">
        <w:rPr>
          <w:rStyle w:val="normaltextrun"/>
          <w:rFonts w:ascii="Calibri" w:hAnsi="Calibri" w:cs="Calibri"/>
          <w:color w:val="000000"/>
          <w:sz w:val="22"/>
          <w:szCs w:val="22"/>
          <w:bdr w:val="none" w:sz="0" w:space="0" w:color="auto" w:frame="1"/>
        </w:rPr>
        <w:t>.</w:t>
      </w:r>
    </w:p>
    <w:p w14:paraId="516AA849" w14:textId="77777777" w:rsidR="000B118B" w:rsidRPr="004B23D9" w:rsidRDefault="000B118B" w:rsidP="00FF71A8">
      <w:pPr>
        <w:rPr>
          <w:rFonts w:ascii="Calibri" w:eastAsia="Tahoma" w:hAnsi="Calibri" w:cs="Calibri"/>
          <w:sz w:val="22"/>
          <w:szCs w:val="22"/>
        </w:rPr>
      </w:pPr>
    </w:p>
    <w:tbl>
      <w:tblPr>
        <w:tblStyle w:val="TableGrid"/>
        <w:tblW w:w="0" w:type="auto"/>
        <w:tblLook w:val="04A0" w:firstRow="1" w:lastRow="0" w:firstColumn="1" w:lastColumn="0" w:noHBand="0" w:noVBand="1"/>
      </w:tblPr>
      <w:tblGrid>
        <w:gridCol w:w="4988"/>
        <w:gridCol w:w="4988"/>
      </w:tblGrid>
      <w:tr w:rsidR="009574E9" w:rsidRPr="004B23D9" w14:paraId="5E1774D1" w14:textId="77777777" w:rsidTr="00B5500A">
        <w:tc>
          <w:tcPr>
            <w:tcW w:w="4988" w:type="dxa"/>
          </w:tcPr>
          <w:p w14:paraId="0F405E13" w14:textId="5659F506" w:rsidR="009574E9" w:rsidRPr="004B23D9" w:rsidRDefault="009574E9" w:rsidP="009574E9">
            <w:pPr>
              <w:rPr>
                <w:rFonts w:ascii="Calibri" w:eastAsia="Tahoma" w:hAnsi="Calibri" w:cs="Calibri"/>
                <w:sz w:val="22"/>
                <w:szCs w:val="22"/>
              </w:rPr>
            </w:pPr>
            <w:r w:rsidRPr="004B23D9">
              <w:rPr>
                <w:rFonts w:ascii="Calibri" w:eastAsia="Tahoma" w:hAnsi="Calibri" w:cs="Calibri"/>
                <w:sz w:val="22"/>
                <w:szCs w:val="22"/>
              </w:rPr>
              <w:t>Ονοματεπώνυμο/Επωνυμία</w:t>
            </w:r>
          </w:p>
        </w:tc>
        <w:tc>
          <w:tcPr>
            <w:tcW w:w="4988" w:type="dxa"/>
          </w:tcPr>
          <w:p w14:paraId="3365A92A" w14:textId="77777777" w:rsidR="009574E9" w:rsidRPr="004B23D9" w:rsidRDefault="009574E9" w:rsidP="009574E9">
            <w:pPr>
              <w:rPr>
                <w:rFonts w:ascii="Calibri" w:eastAsia="Tahoma" w:hAnsi="Calibri" w:cs="Calibri"/>
                <w:sz w:val="22"/>
                <w:szCs w:val="22"/>
              </w:rPr>
            </w:pPr>
          </w:p>
        </w:tc>
      </w:tr>
      <w:tr w:rsidR="00CD5CF9" w:rsidRPr="004B23D9" w14:paraId="52EF4ACA" w14:textId="77777777" w:rsidTr="00B5500A">
        <w:tc>
          <w:tcPr>
            <w:tcW w:w="4988" w:type="dxa"/>
          </w:tcPr>
          <w:p w14:paraId="0B509C79" w14:textId="6B59ECD0" w:rsidR="00CD5CF9" w:rsidRPr="004B23D9" w:rsidRDefault="00CD5CF9" w:rsidP="009574E9">
            <w:pPr>
              <w:rPr>
                <w:rFonts w:ascii="Calibri" w:eastAsia="Tahoma" w:hAnsi="Calibri" w:cs="Calibri"/>
                <w:sz w:val="22"/>
                <w:szCs w:val="22"/>
              </w:rPr>
            </w:pPr>
            <w:r w:rsidRPr="004B23D9">
              <w:rPr>
                <w:rFonts w:ascii="Calibri" w:eastAsia="Tahoma" w:hAnsi="Calibri" w:cs="Calibri"/>
                <w:sz w:val="22"/>
                <w:szCs w:val="22"/>
              </w:rPr>
              <w:t xml:space="preserve">Ονοματεπώνυμο </w:t>
            </w:r>
            <w:r>
              <w:rPr>
                <w:rFonts w:ascii="Calibri" w:eastAsia="Tahoma" w:hAnsi="Calibri" w:cs="Calibri"/>
                <w:sz w:val="22"/>
                <w:szCs w:val="22"/>
              </w:rPr>
              <w:t xml:space="preserve">διορισμένου αντιπροσώπου </w:t>
            </w:r>
            <w:r w:rsidR="00A84DF1">
              <w:rPr>
                <w:rFonts w:ascii="Calibri" w:eastAsia="Tahoma" w:hAnsi="Calibri" w:cs="Calibri"/>
                <w:sz w:val="22"/>
                <w:szCs w:val="22"/>
              </w:rPr>
              <w:t>Ομολογιούχου</w:t>
            </w:r>
            <w:r w:rsidR="00E82820" w:rsidRPr="00E82820">
              <w:rPr>
                <w:rFonts w:ascii="Calibri" w:eastAsia="Tahoma" w:hAnsi="Calibri" w:cs="Calibri"/>
                <w:sz w:val="22"/>
                <w:szCs w:val="22"/>
                <w:vertAlign w:val="superscript"/>
              </w:rPr>
              <w:t>1</w:t>
            </w:r>
          </w:p>
        </w:tc>
        <w:tc>
          <w:tcPr>
            <w:tcW w:w="4988" w:type="dxa"/>
          </w:tcPr>
          <w:p w14:paraId="2E8F8508" w14:textId="77777777" w:rsidR="00CD5CF9" w:rsidRPr="004B23D9" w:rsidRDefault="00CD5CF9" w:rsidP="009574E9">
            <w:pPr>
              <w:rPr>
                <w:rFonts w:ascii="Calibri" w:eastAsia="Tahoma" w:hAnsi="Calibri" w:cs="Calibri"/>
                <w:sz w:val="22"/>
                <w:szCs w:val="22"/>
              </w:rPr>
            </w:pPr>
          </w:p>
        </w:tc>
      </w:tr>
      <w:tr w:rsidR="009574E9" w:rsidRPr="004B23D9" w14:paraId="36576842" w14:textId="77777777" w:rsidTr="00B5500A">
        <w:tc>
          <w:tcPr>
            <w:tcW w:w="4988" w:type="dxa"/>
          </w:tcPr>
          <w:p w14:paraId="3E442119" w14:textId="1B62DA7D" w:rsidR="009574E9" w:rsidRPr="004B23D9" w:rsidRDefault="009574E9" w:rsidP="009574E9">
            <w:pPr>
              <w:rPr>
                <w:rFonts w:ascii="Calibri" w:eastAsia="Tahoma" w:hAnsi="Calibri" w:cs="Calibri"/>
                <w:sz w:val="22"/>
                <w:szCs w:val="22"/>
              </w:rPr>
            </w:pPr>
            <w:r w:rsidRPr="004B23D9">
              <w:rPr>
                <w:rFonts w:ascii="Calibri" w:eastAsia="Tahoma" w:hAnsi="Calibri" w:cs="Calibri"/>
                <w:sz w:val="22"/>
                <w:szCs w:val="22"/>
              </w:rPr>
              <w:t>Ονοματεπώνυμο νομίμου/ων εκπροσώπου/ων (για νομικά πρόσωπα μόνο)</w:t>
            </w:r>
            <w:r w:rsidR="00EC01B5">
              <w:rPr>
                <w:rFonts w:ascii="Calibri" w:eastAsia="Tahoma" w:hAnsi="Calibri" w:cs="Calibri"/>
                <w:sz w:val="22"/>
                <w:szCs w:val="22"/>
              </w:rPr>
              <w:t xml:space="preserve"> </w:t>
            </w:r>
          </w:p>
        </w:tc>
        <w:tc>
          <w:tcPr>
            <w:tcW w:w="4988" w:type="dxa"/>
          </w:tcPr>
          <w:p w14:paraId="56B69AA4" w14:textId="77777777" w:rsidR="009574E9" w:rsidRPr="004B23D9" w:rsidRDefault="009574E9" w:rsidP="009574E9">
            <w:pPr>
              <w:rPr>
                <w:rFonts w:ascii="Calibri" w:eastAsia="Tahoma" w:hAnsi="Calibri" w:cs="Calibri"/>
                <w:sz w:val="22"/>
                <w:szCs w:val="22"/>
              </w:rPr>
            </w:pPr>
          </w:p>
        </w:tc>
      </w:tr>
      <w:tr w:rsidR="009574E9" w:rsidRPr="004B23D9" w14:paraId="66787C80" w14:textId="77777777" w:rsidTr="00B5500A">
        <w:tc>
          <w:tcPr>
            <w:tcW w:w="4988" w:type="dxa"/>
          </w:tcPr>
          <w:p w14:paraId="44E9577C" w14:textId="33E75D6B" w:rsidR="009574E9" w:rsidRPr="004B23D9" w:rsidRDefault="009574E9" w:rsidP="009574E9">
            <w:pPr>
              <w:rPr>
                <w:rFonts w:ascii="Calibri" w:eastAsia="Tahoma" w:hAnsi="Calibri" w:cs="Calibri"/>
                <w:sz w:val="22"/>
                <w:szCs w:val="22"/>
              </w:rPr>
            </w:pPr>
            <w:r w:rsidRPr="004B23D9">
              <w:rPr>
                <w:rFonts w:ascii="Calibri" w:eastAsia="Tahoma" w:hAnsi="Calibri" w:cs="Calibri"/>
                <w:sz w:val="22"/>
                <w:szCs w:val="22"/>
              </w:rPr>
              <w:t xml:space="preserve">Διεύθυνση/ Έδρα </w:t>
            </w:r>
          </w:p>
        </w:tc>
        <w:tc>
          <w:tcPr>
            <w:tcW w:w="4988" w:type="dxa"/>
          </w:tcPr>
          <w:p w14:paraId="46CDF68E" w14:textId="77777777" w:rsidR="009574E9" w:rsidRPr="004B23D9" w:rsidRDefault="009574E9" w:rsidP="009574E9">
            <w:pPr>
              <w:rPr>
                <w:rFonts w:ascii="Calibri" w:eastAsia="Tahoma" w:hAnsi="Calibri" w:cs="Calibri"/>
                <w:sz w:val="22"/>
                <w:szCs w:val="22"/>
              </w:rPr>
            </w:pPr>
          </w:p>
        </w:tc>
      </w:tr>
      <w:tr w:rsidR="009574E9" w:rsidRPr="004B23D9" w14:paraId="1C4BA8D3" w14:textId="77777777" w:rsidTr="00B5500A">
        <w:tc>
          <w:tcPr>
            <w:tcW w:w="4988" w:type="dxa"/>
          </w:tcPr>
          <w:p w14:paraId="374D2F50" w14:textId="314119C4" w:rsidR="009574E9" w:rsidRPr="004B23D9" w:rsidRDefault="009574E9" w:rsidP="009574E9">
            <w:pPr>
              <w:rPr>
                <w:rFonts w:ascii="Calibri" w:eastAsia="Tahoma" w:hAnsi="Calibri" w:cs="Calibri"/>
                <w:sz w:val="22"/>
                <w:szCs w:val="22"/>
              </w:rPr>
            </w:pPr>
            <w:r w:rsidRPr="004B23D9">
              <w:rPr>
                <w:rFonts w:ascii="Calibri" w:eastAsia="Tahoma" w:hAnsi="Calibri" w:cs="Calibri"/>
                <w:sz w:val="22"/>
                <w:szCs w:val="22"/>
              </w:rPr>
              <w:t>Α.Δ.Τ. ή Αρ. Διαβατηρίου / Αρ. Γ.Ε.ΜΗ.</w:t>
            </w:r>
          </w:p>
        </w:tc>
        <w:tc>
          <w:tcPr>
            <w:tcW w:w="4988" w:type="dxa"/>
          </w:tcPr>
          <w:p w14:paraId="271CF0B9" w14:textId="77777777" w:rsidR="009574E9" w:rsidRPr="004B23D9" w:rsidRDefault="009574E9" w:rsidP="009574E9">
            <w:pPr>
              <w:rPr>
                <w:rFonts w:ascii="Calibri" w:eastAsia="Tahoma" w:hAnsi="Calibri" w:cs="Calibri"/>
                <w:sz w:val="22"/>
                <w:szCs w:val="22"/>
              </w:rPr>
            </w:pPr>
          </w:p>
        </w:tc>
      </w:tr>
      <w:tr w:rsidR="009574E9" w:rsidRPr="004B23D9" w14:paraId="6497C3DD" w14:textId="77777777" w:rsidTr="00B5500A">
        <w:tc>
          <w:tcPr>
            <w:tcW w:w="4988" w:type="dxa"/>
          </w:tcPr>
          <w:p w14:paraId="1D98624C" w14:textId="1D50917E" w:rsidR="009574E9" w:rsidRPr="004B23D9" w:rsidRDefault="009574E9" w:rsidP="009574E9">
            <w:pPr>
              <w:rPr>
                <w:rFonts w:ascii="Calibri" w:eastAsia="Tahoma" w:hAnsi="Calibri" w:cs="Calibri"/>
                <w:sz w:val="22"/>
                <w:szCs w:val="22"/>
              </w:rPr>
            </w:pPr>
            <w:r w:rsidRPr="004B23D9">
              <w:rPr>
                <w:rFonts w:ascii="Calibri" w:eastAsia="Tahoma" w:hAnsi="Calibri" w:cs="Calibri"/>
                <w:sz w:val="22"/>
                <w:szCs w:val="22"/>
              </w:rPr>
              <w:t>Αριθμός κινητού τηλεφώνου</w:t>
            </w:r>
          </w:p>
        </w:tc>
        <w:tc>
          <w:tcPr>
            <w:tcW w:w="4988" w:type="dxa"/>
          </w:tcPr>
          <w:p w14:paraId="79FFC78F" w14:textId="77777777" w:rsidR="009574E9" w:rsidRPr="004B23D9" w:rsidRDefault="009574E9" w:rsidP="009574E9">
            <w:pPr>
              <w:rPr>
                <w:rFonts w:ascii="Calibri" w:eastAsia="Tahoma" w:hAnsi="Calibri" w:cs="Calibri"/>
                <w:sz w:val="22"/>
                <w:szCs w:val="22"/>
              </w:rPr>
            </w:pPr>
          </w:p>
        </w:tc>
      </w:tr>
      <w:tr w:rsidR="009574E9" w:rsidRPr="004B23D9" w14:paraId="791CF223" w14:textId="77777777" w:rsidTr="00B5500A">
        <w:tc>
          <w:tcPr>
            <w:tcW w:w="4988" w:type="dxa"/>
          </w:tcPr>
          <w:p w14:paraId="2D41EC7F" w14:textId="584391A6" w:rsidR="009574E9" w:rsidRPr="004B23D9" w:rsidRDefault="009574E9" w:rsidP="009574E9">
            <w:pPr>
              <w:rPr>
                <w:rFonts w:ascii="Calibri" w:eastAsia="Tahoma" w:hAnsi="Calibri" w:cs="Calibri"/>
                <w:sz w:val="22"/>
                <w:szCs w:val="22"/>
                <w:lang w:val="en-US"/>
              </w:rPr>
            </w:pPr>
            <w:r w:rsidRPr="004B23D9">
              <w:rPr>
                <w:rFonts w:ascii="Calibri" w:eastAsia="Tahoma" w:hAnsi="Calibri" w:cs="Calibri"/>
                <w:sz w:val="22"/>
                <w:szCs w:val="22"/>
              </w:rPr>
              <w:t>Διεύθυνση ηλεκτρονικού ταχυδρομείου (</w:t>
            </w:r>
            <w:r w:rsidRPr="004B23D9">
              <w:rPr>
                <w:rFonts w:ascii="Calibri" w:eastAsia="Tahoma" w:hAnsi="Calibri" w:cs="Calibri"/>
                <w:sz w:val="22"/>
                <w:szCs w:val="22"/>
                <w:lang w:val="en-US"/>
              </w:rPr>
              <w:t>email)</w:t>
            </w:r>
          </w:p>
        </w:tc>
        <w:tc>
          <w:tcPr>
            <w:tcW w:w="4988" w:type="dxa"/>
          </w:tcPr>
          <w:p w14:paraId="551A9D9A" w14:textId="77777777" w:rsidR="009574E9" w:rsidRPr="004B23D9" w:rsidRDefault="009574E9" w:rsidP="009574E9">
            <w:pPr>
              <w:rPr>
                <w:rFonts w:ascii="Calibri" w:eastAsia="Tahoma" w:hAnsi="Calibri" w:cs="Calibri"/>
                <w:sz w:val="22"/>
                <w:szCs w:val="22"/>
              </w:rPr>
            </w:pPr>
          </w:p>
        </w:tc>
      </w:tr>
      <w:tr w:rsidR="009574E9" w:rsidRPr="004B23D9" w14:paraId="5BBAA8F4" w14:textId="77777777" w:rsidTr="00B5500A">
        <w:tc>
          <w:tcPr>
            <w:tcW w:w="4988" w:type="dxa"/>
          </w:tcPr>
          <w:p w14:paraId="668216B5" w14:textId="6FD5E41A" w:rsidR="009574E9" w:rsidRPr="00F95EDE" w:rsidRDefault="009574E9" w:rsidP="009574E9">
            <w:pPr>
              <w:rPr>
                <w:rFonts w:ascii="Calibri" w:eastAsia="Tahoma" w:hAnsi="Calibri" w:cs="Calibri"/>
                <w:sz w:val="22"/>
                <w:szCs w:val="22"/>
              </w:rPr>
            </w:pPr>
            <w:r w:rsidRPr="004B23D9">
              <w:rPr>
                <w:rFonts w:ascii="Calibri" w:eastAsia="Tahoma" w:hAnsi="Calibri" w:cs="Calibri"/>
                <w:sz w:val="22"/>
                <w:szCs w:val="22"/>
              </w:rPr>
              <w:t>Αριθμός Μερίδας Σ.Α.Τ. (Χρηματιστηρίου Αθηνών)</w:t>
            </w:r>
          </w:p>
        </w:tc>
        <w:tc>
          <w:tcPr>
            <w:tcW w:w="4988" w:type="dxa"/>
          </w:tcPr>
          <w:p w14:paraId="27AE1079" w14:textId="77777777" w:rsidR="009574E9" w:rsidRPr="004B23D9" w:rsidRDefault="009574E9" w:rsidP="009574E9">
            <w:pPr>
              <w:rPr>
                <w:rFonts w:ascii="Calibri" w:eastAsia="Tahoma" w:hAnsi="Calibri" w:cs="Calibri"/>
                <w:sz w:val="22"/>
                <w:szCs w:val="22"/>
              </w:rPr>
            </w:pPr>
          </w:p>
        </w:tc>
      </w:tr>
      <w:tr w:rsidR="009574E9" w:rsidRPr="004B23D9" w14:paraId="1B90E84D" w14:textId="77777777" w:rsidTr="00B5500A">
        <w:tc>
          <w:tcPr>
            <w:tcW w:w="4988" w:type="dxa"/>
          </w:tcPr>
          <w:p w14:paraId="22F07EEB" w14:textId="4493DD9C" w:rsidR="009574E9" w:rsidRPr="004B23D9" w:rsidRDefault="009574E9" w:rsidP="009574E9">
            <w:pPr>
              <w:rPr>
                <w:rFonts w:ascii="Calibri" w:eastAsia="Tahoma" w:hAnsi="Calibri" w:cs="Calibri"/>
                <w:sz w:val="22"/>
                <w:szCs w:val="22"/>
              </w:rPr>
            </w:pPr>
            <w:r w:rsidRPr="004B23D9">
              <w:rPr>
                <w:rFonts w:ascii="Calibri" w:eastAsia="Tahoma" w:hAnsi="Calibri" w:cs="Calibri"/>
                <w:sz w:val="22"/>
                <w:szCs w:val="22"/>
              </w:rPr>
              <w:t xml:space="preserve">Αριθμός </w:t>
            </w:r>
            <w:r>
              <w:rPr>
                <w:rFonts w:ascii="Calibri" w:eastAsia="Tahoma" w:hAnsi="Calibri" w:cs="Calibri"/>
                <w:sz w:val="22"/>
                <w:szCs w:val="22"/>
              </w:rPr>
              <w:t xml:space="preserve">Ομολογιών </w:t>
            </w:r>
          </w:p>
        </w:tc>
        <w:tc>
          <w:tcPr>
            <w:tcW w:w="4988" w:type="dxa"/>
          </w:tcPr>
          <w:p w14:paraId="40080F00" w14:textId="77777777" w:rsidR="009574E9" w:rsidRPr="004B23D9" w:rsidRDefault="009574E9" w:rsidP="009574E9">
            <w:pPr>
              <w:rPr>
                <w:rFonts w:ascii="Calibri" w:eastAsia="Tahoma" w:hAnsi="Calibri" w:cs="Calibri"/>
                <w:sz w:val="22"/>
                <w:szCs w:val="22"/>
              </w:rPr>
            </w:pPr>
          </w:p>
          <w:p w14:paraId="10345994" w14:textId="77777777" w:rsidR="009574E9" w:rsidRPr="004B23D9" w:rsidRDefault="009574E9" w:rsidP="009574E9">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1D1CF646" wp14:editId="7B20901A">
                      <wp:extent cx="109182" cy="102358"/>
                      <wp:effectExtent l="0" t="0" r="24765" b="12065"/>
                      <wp:docPr id="3" name="Text Box 3"/>
                      <wp:cNvGraphicFramePr/>
                      <a:graphic xmlns:a="http://schemas.openxmlformats.org/drawingml/2006/main">
                        <a:graphicData uri="http://schemas.microsoft.com/office/word/2010/wordprocessingShape">
                          <wps:wsp>
                            <wps:cNvSpPr txBox="1"/>
                            <wps:spPr>
                              <a:xfrm>
                                <a:off x="0" y="0"/>
                                <a:ext cx="109182" cy="102358"/>
                              </a:xfrm>
                              <a:prstGeom prst="rect">
                                <a:avLst/>
                              </a:prstGeom>
                              <a:solidFill>
                                <a:schemeClr val="lt1"/>
                              </a:solidFill>
                              <a:ln w="6350">
                                <a:solidFill>
                                  <a:prstClr val="black"/>
                                </a:solidFill>
                              </a:ln>
                            </wps:spPr>
                            <wps:txbx>
                              <w:txbxContent>
                                <w:p w14:paraId="3BF0983B" w14:textId="77777777" w:rsidR="009574E9" w:rsidRDefault="00957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1CF646" id="_x0000_t202" coordsize="21600,21600" o:spt="202" path="m,l,21600r21600,l21600,xe">
                      <v:stroke joinstyle="miter"/>
                      <v:path gradientshapeok="t" o:connecttype="rect"/>
                    </v:shapetype>
                    <v:shape id="Text Box 3" o:spid="_x0000_s1026" type="#_x0000_t202" style="width:8.6pt;height: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" fillcolor="white [3201]" strokeweight=".5pt">
                      <v:textbox>
                        <w:txbxContent>
                          <w:p w14:paraId="3BF0983B" w14:textId="77777777" w:rsidR="009574E9" w:rsidRDefault="009574E9"/>
                        </w:txbxContent>
                      </v:textbox>
                      <w10:anchorlock/>
                    </v:shape>
                  </w:pict>
                </mc:Fallback>
              </mc:AlternateContent>
            </w:r>
            <w:r w:rsidRPr="004B23D9">
              <w:rPr>
                <w:rFonts w:ascii="Calibri" w:eastAsia="Tahoma" w:hAnsi="Calibri" w:cs="Calibri"/>
                <w:sz w:val="22"/>
                <w:szCs w:val="22"/>
              </w:rPr>
              <w:t xml:space="preserve">Για όσες συνολικά θα έχω δικαίωμα ψήφου κατά την Ημερομηνία Καταγραφής, όπως αυτή ορίζεται στην Πρόσκληση </w:t>
            </w:r>
            <w:r>
              <w:rPr>
                <w:rFonts w:ascii="Calibri" w:eastAsia="Tahoma" w:hAnsi="Calibri" w:cs="Calibri"/>
                <w:sz w:val="22"/>
                <w:szCs w:val="22"/>
              </w:rPr>
              <w:t xml:space="preserve">της </w:t>
            </w:r>
            <w:r w:rsidRPr="004B23D9">
              <w:rPr>
                <w:rFonts w:ascii="Calibri" w:eastAsia="Tahoma" w:hAnsi="Calibri" w:cs="Calibri"/>
                <w:sz w:val="22"/>
                <w:szCs w:val="22"/>
              </w:rPr>
              <w:t>Σ</w:t>
            </w:r>
            <w:r>
              <w:rPr>
                <w:rFonts w:ascii="Calibri" w:eastAsia="Tahoma" w:hAnsi="Calibri" w:cs="Calibri"/>
                <w:sz w:val="22"/>
                <w:szCs w:val="22"/>
              </w:rPr>
              <w:t>υνέλευσης</w:t>
            </w:r>
            <w:r w:rsidRPr="004B23D9">
              <w:rPr>
                <w:rFonts w:ascii="Calibri" w:eastAsia="Tahoma" w:hAnsi="Calibri" w:cs="Calibri"/>
                <w:sz w:val="22"/>
                <w:szCs w:val="22"/>
              </w:rPr>
              <w:t xml:space="preserve">. </w:t>
            </w:r>
          </w:p>
          <w:p w14:paraId="435D4FCB" w14:textId="77777777" w:rsidR="009574E9" w:rsidRPr="004B23D9" w:rsidRDefault="009574E9" w:rsidP="009574E9">
            <w:pPr>
              <w:rPr>
                <w:rFonts w:ascii="Calibri" w:eastAsia="Tahoma" w:hAnsi="Calibri" w:cs="Calibri"/>
                <w:sz w:val="22"/>
                <w:szCs w:val="22"/>
              </w:rPr>
            </w:pPr>
          </w:p>
          <w:p w14:paraId="7F41D4E2" w14:textId="6DCAEE18" w:rsidR="009574E9" w:rsidRPr="004B23D9" w:rsidRDefault="009574E9" w:rsidP="009574E9">
            <w:pPr>
              <w:rPr>
                <w:rFonts w:ascii="Calibri" w:eastAsia="Tahoma" w:hAnsi="Calibri" w:cs="Calibri"/>
                <w:sz w:val="22"/>
                <w:szCs w:val="22"/>
              </w:rPr>
            </w:pPr>
            <w:r w:rsidRPr="004B23D9">
              <w:rPr>
                <w:rFonts w:ascii="Calibri" w:eastAsia="Tahoma" w:hAnsi="Calibri" w:cs="Calibri"/>
                <w:noProof/>
                <w:sz w:val="22"/>
                <w:szCs w:val="22"/>
              </w:rPr>
              <mc:AlternateContent>
                <mc:Choice Requires="wps">
                  <w:drawing>
                    <wp:inline distT="0" distB="0" distL="0" distR="0" wp14:anchorId="2B4529E3" wp14:editId="1764A76F">
                      <wp:extent cx="108585" cy="122830"/>
                      <wp:effectExtent l="0" t="0" r="24765" b="10795"/>
                      <wp:docPr id="2" name="Text Box 2"/>
                      <wp:cNvGraphicFramePr/>
                      <a:graphic xmlns:a="http://schemas.openxmlformats.org/drawingml/2006/main">
                        <a:graphicData uri="http://schemas.microsoft.com/office/word/2010/wordprocessingShape">
                          <wps:wsp>
                            <wps:cNvSpPr txBox="1"/>
                            <wps:spPr>
                              <a:xfrm>
                                <a:off x="0" y="0"/>
                                <a:ext cx="108585" cy="122830"/>
                              </a:xfrm>
                              <a:prstGeom prst="rect">
                                <a:avLst/>
                              </a:prstGeom>
                              <a:solidFill>
                                <a:schemeClr val="lt1"/>
                              </a:solidFill>
                              <a:ln w="6350">
                                <a:solidFill>
                                  <a:prstClr val="black"/>
                                </a:solidFill>
                              </a:ln>
                            </wps:spPr>
                            <wps:txbx>
                              <w:txbxContent>
                                <w:p w14:paraId="180CD9B1" w14:textId="77777777" w:rsidR="009574E9" w:rsidRDefault="00957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4529E3" id="Text Box 2" o:spid="_x0000_s1027" type="#_x0000_t202" style="width:8.5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soOAIAAII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" fillcolor="white [3201]" strokeweight=".5pt">
                      <v:textbox>
                        <w:txbxContent>
                          <w:p w14:paraId="180CD9B1" w14:textId="77777777" w:rsidR="009574E9" w:rsidRDefault="009574E9"/>
                        </w:txbxContent>
                      </v:textbox>
                      <w10:anchorlock/>
                    </v:shape>
                  </w:pict>
                </mc:Fallback>
              </mc:AlternateContent>
            </w:r>
            <w:r w:rsidRPr="004B23D9">
              <w:rPr>
                <w:rFonts w:ascii="Calibri" w:eastAsia="Tahoma" w:hAnsi="Calibri" w:cs="Calibri"/>
                <w:sz w:val="22"/>
                <w:szCs w:val="22"/>
              </w:rPr>
              <w:t xml:space="preserve">...........................(ακριβής αριθμός </w:t>
            </w:r>
            <w:r>
              <w:rPr>
                <w:rFonts w:ascii="Calibri" w:eastAsia="Tahoma" w:hAnsi="Calibri" w:cs="Calibri"/>
                <w:sz w:val="22"/>
                <w:szCs w:val="22"/>
              </w:rPr>
              <w:t>ομολογιών</w:t>
            </w:r>
            <w:r w:rsidRPr="004B23D9">
              <w:rPr>
                <w:rFonts w:ascii="Calibri" w:eastAsia="Tahoma" w:hAnsi="Calibri" w:cs="Calibri"/>
                <w:sz w:val="22"/>
                <w:szCs w:val="22"/>
              </w:rPr>
              <w:t xml:space="preserve">) </w:t>
            </w:r>
          </w:p>
        </w:tc>
      </w:tr>
    </w:tbl>
    <w:p w14:paraId="00582461" w14:textId="77777777" w:rsidR="000B118B" w:rsidRPr="004B23D9" w:rsidRDefault="000B118B" w:rsidP="00FF71A8">
      <w:pPr>
        <w:rPr>
          <w:rFonts w:ascii="Calibri" w:eastAsia="Tahoma" w:hAnsi="Calibri" w:cs="Calibri"/>
          <w:sz w:val="22"/>
          <w:szCs w:val="22"/>
        </w:rPr>
      </w:pPr>
    </w:p>
    <w:p w14:paraId="5CF6D4F2" w14:textId="59233092" w:rsidR="00377B05" w:rsidRPr="004B23D9" w:rsidRDefault="00377B05" w:rsidP="00FF71A8">
      <w:pPr>
        <w:rPr>
          <w:rFonts w:ascii="Calibri" w:eastAsia="Tahoma" w:hAnsi="Calibri" w:cs="Calibri"/>
          <w:b/>
          <w:bCs/>
          <w:sz w:val="22"/>
          <w:szCs w:val="22"/>
        </w:rPr>
      </w:pPr>
      <w:r w:rsidRPr="004B23D9">
        <w:rPr>
          <w:rFonts w:ascii="Calibri" w:eastAsia="Tahoma" w:hAnsi="Calibri" w:cs="Calibri"/>
          <w:b/>
          <w:bCs/>
          <w:sz w:val="22"/>
          <w:szCs w:val="22"/>
        </w:rPr>
        <w:t>Με τ</w:t>
      </w:r>
      <w:r w:rsidR="00A94728">
        <w:rPr>
          <w:rFonts w:ascii="Calibri" w:eastAsia="Tahoma" w:hAnsi="Calibri" w:cs="Calibri"/>
          <w:b/>
          <w:bCs/>
          <w:sz w:val="22"/>
          <w:szCs w:val="22"/>
        </w:rPr>
        <w:t xml:space="preserve">ο παρόν </w:t>
      </w:r>
      <w:r w:rsidR="00027A14">
        <w:rPr>
          <w:rFonts w:ascii="Calibri" w:eastAsia="Tahoma" w:hAnsi="Calibri" w:cs="Calibri"/>
          <w:b/>
          <w:bCs/>
          <w:sz w:val="22"/>
          <w:szCs w:val="22"/>
        </w:rPr>
        <w:t xml:space="preserve">έντυπο </w:t>
      </w:r>
      <w:r w:rsidR="00A94728">
        <w:rPr>
          <w:rFonts w:ascii="Calibri" w:eastAsia="Tahoma" w:hAnsi="Calibri" w:cs="Calibri"/>
          <w:b/>
          <w:bCs/>
          <w:sz w:val="22"/>
          <w:szCs w:val="22"/>
        </w:rPr>
        <w:t>σας γνωστοποιώ</w:t>
      </w:r>
      <w:r w:rsidRPr="004B23D9">
        <w:rPr>
          <w:rFonts w:ascii="Calibri" w:eastAsia="Tahoma" w:hAnsi="Calibri" w:cs="Calibri"/>
          <w:b/>
          <w:bCs/>
          <w:sz w:val="22"/>
          <w:szCs w:val="22"/>
        </w:rPr>
        <w:t>:</w:t>
      </w:r>
    </w:p>
    <w:p w14:paraId="7953911B" w14:textId="1A0D9103" w:rsidR="00027A14" w:rsidRDefault="00AD02BF" w:rsidP="00FF71A8">
      <w:pPr>
        <w:jc w:val="both"/>
        <w:rPr>
          <w:rFonts w:ascii="Calibri" w:eastAsia="Tahoma" w:hAnsi="Calibri" w:cs="Calibri"/>
          <w:b/>
          <w:bCs/>
          <w:i/>
          <w:iCs/>
          <w:sz w:val="22"/>
          <w:szCs w:val="22"/>
        </w:rPr>
      </w:pPr>
      <w:r w:rsidRPr="00E77346">
        <w:rPr>
          <w:rFonts w:ascii="Calibri" w:eastAsia="Tahoma" w:hAnsi="Calibri" w:cs="Calibri"/>
          <w:b/>
          <w:bCs/>
          <w:i/>
          <w:iCs/>
          <w:sz w:val="22"/>
          <w:szCs w:val="22"/>
        </w:rPr>
        <w:t>(Παρακαλούμε σημειώστε με “</w:t>
      </w:r>
      <w:r w:rsidRPr="00E77346">
        <w:rPr>
          <w:rFonts w:ascii="Calibri" w:eastAsia="Tahoma" w:hAnsi="Calibri" w:cs="Calibri"/>
          <w:b/>
          <w:bCs/>
          <w:i/>
          <w:iCs/>
          <w:sz w:val="22"/>
          <w:szCs w:val="22"/>
          <w:lang w:val="en-US"/>
        </w:rPr>
        <w:t>X</w:t>
      </w:r>
      <w:r w:rsidRPr="00E77346">
        <w:rPr>
          <w:rFonts w:ascii="Calibri" w:eastAsia="Tahoma" w:hAnsi="Calibri" w:cs="Calibri"/>
          <w:b/>
          <w:bCs/>
          <w:i/>
          <w:iCs/>
          <w:sz w:val="22"/>
          <w:szCs w:val="22"/>
        </w:rPr>
        <w:t>”</w:t>
      </w:r>
      <w:r w:rsidR="006B02AC">
        <w:rPr>
          <w:rFonts w:ascii="Calibri" w:eastAsia="Tahoma" w:hAnsi="Calibri" w:cs="Calibri"/>
          <w:b/>
          <w:bCs/>
          <w:i/>
          <w:iCs/>
          <w:sz w:val="22"/>
          <w:szCs w:val="22"/>
        </w:rPr>
        <w:t xml:space="preserve"> την επιλογή σας)</w:t>
      </w:r>
    </w:p>
    <w:p w14:paraId="095B3DB3" w14:textId="77777777" w:rsidR="006B02AC" w:rsidRDefault="006B02AC" w:rsidP="00FF71A8">
      <w:pPr>
        <w:jc w:val="both"/>
        <w:rPr>
          <w:rFonts w:ascii="Calibri" w:eastAsia="Tahoma" w:hAnsi="Calibri" w:cs="Calibri"/>
          <w:sz w:val="22"/>
          <w:szCs w:val="22"/>
        </w:rPr>
      </w:pPr>
    </w:p>
    <w:p w14:paraId="0BA49537" w14:textId="40396958" w:rsidR="006B02AC" w:rsidRDefault="006B02AC"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63A29A74" wp14:editId="3EA90F91">
                <wp:extent cx="133350" cy="161925"/>
                <wp:effectExtent l="0" t="0" r="19050" b="28575"/>
                <wp:docPr id="1" name="Text Box 1"/>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2F535C6C" w14:textId="77777777" w:rsidR="006B02AC" w:rsidRDefault="006B0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A29A74" id="Text Box 1" o:spid="_x0000_s1028"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a1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R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HgRRrU4AgAAggQAAA4AAAAAAAAAAAAAAAAALgIA&#10;AGRycy9lMm9Eb2MueG1sUEsBAi0AFAAGAAgAAAAhAEQxiObWAAAAAwEAAA8AAAAAAAAAAAAAAAAA&#10;kgQAAGRycy9kb3ducmV2LnhtbFBLBQYAAAAABAAEAPMAAACVBQAAAAA=&#10;" fillcolor="white [3201]" strokeweight=".5pt">
                <v:textbox>
                  <w:txbxContent>
                    <w:p w14:paraId="2F535C6C" w14:textId="77777777" w:rsidR="006B02AC" w:rsidRDefault="006B02AC"/>
                  </w:txbxContent>
                </v:textbox>
                <w10:anchorlock/>
              </v:shape>
            </w:pict>
          </mc:Fallback>
        </mc:AlternateContent>
      </w:r>
      <w:r>
        <w:rPr>
          <w:rFonts w:ascii="Calibri" w:eastAsia="Tahoma" w:hAnsi="Calibri" w:cs="Calibri"/>
          <w:sz w:val="22"/>
          <w:szCs w:val="22"/>
        </w:rPr>
        <w:t xml:space="preserve"> </w:t>
      </w:r>
      <w:r w:rsidR="00F65274">
        <w:rPr>
          <w:rFonts w:ascii="Calibri" w:eastAsia="Tahoma" w:hAnsi="Calibri" w:cs="Calibri"/>
          <w:sz w:val="22"/>
          <w:szCs w:val="22"/>
        </w:rPr>
        <w:t xml:space="preserve">  Την ψήφο μου</w:t>
      </w:r>
    </w:p>
    <w:p w14:paraId="748A4FA8" w14:textId="77777777" w:rsidR="00F65274" w:rsidRDefault="00F65274" w:rsidP="00FF71A8">
      <w:pPr>
        <w:jc w:val="both"/>
        <w:rPr>
          <w:rFonts w:ascii="Calibri" w:eastAsia="Tahoma" w:hAnsi="Calibri" w:cs="Calibri"/>
          <w:sz w:val="22"/>
          <w:szCs w:val="22"/>
        </w:rPr>
      </w:pPr>
    </w:p>
    <w:p w14:paraId="3771CA45" w14:textId="691736C3" w:rsidR="00F65274" w:rsidRPr="006B02AC" w:rsidRDefault="00F65274" w:rsidP="00FF71A8">
      <w:pPr>
        <w:jc w:val="both"/>
        <w:rPr>
          <w:rFonts w:ascii="Calibri" w:eastAsia="Tahoma" w:hAnsi="Calibri" w:cs="Calibri"/>
          <w:sz w:val="22"/>
          <w:szCs w:val="22"/>
        </w:rPr>
      </w:pPr>
      <w:r>
        <w:rPr>
          <w:rFonts w:ascii="Calibri" w:eastAsia="Tahoma" w:hAnsi="Calibri" w:cs="Calibri"/>
          <w:noProof/>
          <w:sz w:val="22"/>
          <w:szCs w:val="22"/>
          <w:lang w:val="en-US" w:eastAsia="en-US"/>
        </w:rPr>
        <mc:AlternateContent>
          <mc:Choice Requires="wps">
            <w:drawing>
              <wp:inline distT="0" distB="0" distL="0" distR="0" wp14:anchorId="3A4705CB" wp14:editId="34CB5387">
                <wp:extent cx="133350" cy="161925"/>
                <wp:effectExtent l="0" t="0" r="19050" b="28575"/>
                <wp:docPr id="4" name="Text Box 4"/>
                <wp:cNvGraphicFramePr/>
                <a:graphic xmlns:a="http://schemas.openxmlformats.org/drawingml/2006/main">
                  <a:graphicData uri="http://schemas.microsoft.com/office/word/2010/wordprocessingShape">
                    <wps:wsp>
                      <wps:cNvSpPr txBox="1"/>
                      <wps:spPr>
                        <a:xfrm>
                          <a:off x="0" y="0"/>
                          <a:ext cx="133350" cy="161925"/>
                        </a:xfrm>
                        <a:prstGeom prst="rect">
                          <a:avLst/>
                        </a:prstGeom>
                        <a:solidFill>
                          <a:schemeClr val="lt1"/>
                        </a:solidFill>
                        <a:ln w="6350">
                          <a:solidFill>
                            <a:prstClr val="black"/>
                          </a:solidFill>
                        </a:ln>
                      </wps:spPr>
                      <wps:txbx>
                        <w:txbxContent>
                          <w:p w14:paraId="074E4902" w14:textId="77777777" w:rsidR="00F65274" w:rsidRDefault="00F65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4705CB" id="Text Box 4" o:spid="_x0000_s1029" type="#_x0000_t202"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" fillcolor="white [3201]" strokeweight=".5pt">
                <v:textbox>
                  <w:txbxContent>
                    <w:p w14:paraId="074E4902" w14:textId="77777777" w:rsidR="00F65274" w:rsidRDefault="00F65274"/>
                  </w:txbxContent>
                </v:textbox>
                <w10:anchorlock/>
              </v:shape>
            </w:pict>
          </mc:Fallback>
        </mc:AlternateContent>
      </w:r>
      <w:r>
        <w:rPr>
          <w:rFonts w:ascii="Calibri" w:eastAsia="Tahoma" w:hAnsi="Calibri" w:cs="Calibri"/>
          <w:sz w:val="22"/>
          <w:szCs w:val="22"/>
        </w:rPr>
        <w:t xml:space="preserve">   Την ψήφο του </w:t>
      </w:r>
      <w:r w:rsidR="00324E67">
        <w:rPr>
          <w:rFonts w:ascii="Calibri" w:eastAsia="Tahoma" w:hAnsi="Calibri" w:cs="Calibri"/>
          <w:sz w:val="22"/>
          <w:szCs w:val="22"/>
        </w:rPr>
        <w:t xml:space="preserve">ομολογιούχου </w:t>
      </w:r>
      <w:r>
        <w:rPr>
          <w:rFonts w:ascii="Calibri" w:eastAsia="Tahoma" w:hAnsi="Calibri" w:cs="Calibri"/>
          <w:sz w:val="22"/>
          <w:szCs w:val="22"/>
        </w:rPr>
        <w:t>που εκπροσωπώ</w:t>
      </w:r>
      <w:r w:rsidR="001504DF">
        <w:rPr>
          <w:rFonts w:ascii="Calibri" w:eastAsia="Tahoma" w:hAnsi="Calibri" w:cs="Calibri"/>
          <w:sz w:val="22"/>
          <w:szCs w:val="22"/>
        </w:rPr>
        <w:t>/αντιπροσωπεύω</w:t>
      </w:r>
    </w:p>
    <w:p w14:paraId="1CA7BA42" w14:textId="77777777" w:rsidR="00027A14" w:rsidRDefault="00027A14" w:rsidP="00FF71A8">
      <w:pPr>
        <w:jc w:val="both"/>
        <w:rPr>
          <w:rFonts w:ascii="Calibri" w:eastAsia="Tahoma" w:hAnsi="Calibri" w:cs="Calibri"/>
          <w:sz w:val="22"/>
          <w:szCs w:val="22"/>
        </w:rPr>
      </w:pPr>
    </w:p>
    <w:p w14:paraId="00000024" w14:textId="75DF39C9" w:rsidR="00BA762E" w:rsidRDefault="5F4B34F3" w:rsidP="00613773">
      <w:pPr>
        <w:jc w:val="both"/>
        <w:rPr>
          <w:rFonts w:ascii="Calibri" w:eastAsia="Tahoma" w:hAnsi="Calibri" w:cs="Calibri"/>
          <w:sz w:val="22"/>
          <w:szCs w:val="22"/>
        </w:rPr>
      </w:pPr>
      <w:r w:rsidRPr="004B23D9">
        <w:rPr>
          <w:rFonts w:ascii="Calibri" w:eastAsia="Tahoma" w:hAnsi="Calibri" w:cs="Calibri"/>
          <w:sz w:val="22"/>
          <w:szCs w:val="22"/>
        </w:rPr>
        <w:t xml:space="preserve">επί των θεμάτων της Συνέλευσης των </w:t>
      </w:r>
      <w:r w:rsidR="00381925">
        <w:rPr>
          <w:rFonts w:ascii="Calibri" w:eastAsia="Tahoma" w:hAnsi="Calibri" w:cs="Calibri"/>
          <w:sz w:val="22"/>
          <w:szCs w:val="22"/>
        </w:rPr>
        <w:t xml:space="preserve">Ομολογιούχων </w:t>
      </w:r>
      <w:r w:rsidRPr="004B23D9">
        <w:rPr>
          <w:rFonts w:ascii="Calibri" w:eastAsia="Tahoma" w:hAnsi="Calibri" w:cs="Calibri"/>
          <w:sz w:val="22"/>
          <w:szCs w:val="22"/>
        </w:rPr>
        <w:t xml:space="preserve">της </w:t>
      </w:r>
      <w:r w:rsidR="005C5046">
        <w:rPr>
          <w:rFonts w:ascii="Calibri" w:eastAsia="Tahoma" w:hAnsi="Calibri" w:cs="Calibri"/>
          <w:sz w:val="22"/>
          <w:szCs w:val="22"/>
        </w:rPr>
        <w:t>Ε</w:t>
      </w:r>
      <w:r w:rsidRPr="004B23D9">
        <w:rPr>
          <w:rFonts w:ascii="Calibri" w:eastAsia="Tahoma" w:hAnsi="Calibri" w:cs="Calibri"/>
          <w:sz w:val="22"/>
          <w:szCs w:val="22"/>
        </w:rPr>
        <w:t xml:space="preserve">ταιρείας της </w:t>
      </w:r>
      <w:r w:rsidR="00381925" w:rsidRPr="00381925">
        <w:rPr>
          <w:rFonts w:ascii="Calibri" w:eastAsia="Tahoma" w:hAnsi="Calibri" w:cs="Calibri"/>
          <w:b/>
          <w:bCs/>
          <w:sz w:val="22"/>
          <w:szCs w:val="22"/>
        </w:rPr>
        <w:t>28</w:t>
      </w:r>
      <w:r w:rsidR="00662BD9">
        <w:rPr>
          <w:rStyle w:val="normaltextrun"/>
          <w:rFonts w:ascii="Calibri" w:hAnsi="Calibri" w:cs="Calibri"/>
          <w:b/>
          <w:bCs/>
          <w:color w:val="000000"/>
          <w:sz w:val="22"/>
          <w:szCs w:val="22"/>
          <w:bdr w:val="none" w:sz="0" w:space="0" w:color="auto" w:frame="1"/>
          <w:vertAlign w:val="superscript"/>
        </w:rPr>
        <w:t xml:space="preserve">ης  </w:t>
      </w:r>
      <w:r w:rsidR="00D25108">
        <w:rPr>
          <w:rStyle w:val="normaltextrun"/>
          <w:rFonts w:ascii="Calibri" w:hAnsi="Calibri" w:cs="Calibri"/>
          <w:b/>
          <w:bCs/>
          <w:color w:val="000000"/>
          <w:sz w:val="22"/>
          <w:szCs w:val="22"/>
          <w:bdr w:val="none" w:sz="0" w:space="0" w:color="auto" w:frame="1"/>
        </w:rPr>
        <w:t xml:space="preserve">Φεβρουαρίου </w:t>
      </w:r>
      <w:r w:rsidR="00662BD9" w:rsidRPr="7605B186">
        <w:rPr>
          <w:rStyle w:val="normaltextrun"/>
          <w:rFonts w:ascii="Calibri" w:hAnsi="Calibri" w:cs="Calibri"/>
          <w:b/>
          <w:bCs/>
          <w:color w:val="000000"/>
          <w:sz w:val="22"/>
          <w:szCs w:val="22"/>
          <w:bdr w:val="none" w:sz="0" w:space="0" w:color="auto" w:frame="1"/>
        </w:rPr>
        <w:t>202</w:t>
      </w:r>
      <w:r w:rsidR="00D25108">
        <w:rPr>
          <w:rStyle w:val="normaltextrun"/>
          <w:rFonts w:ascii="Calibri" w:hAnsi="Calibri" w:cs="Calibri"/>
          <w:b/>
          <w:bCs/>
          <w:color w:val="000000"/>
          <w:sz w:val="22"/>
          <w:szCs w:val="22"/>
          <w:bdr w:val="none" w:sz="0" w:space="0" w:color="auto" w:frame="1"/>
        </w:rPr>
        <w:t>5</w:t>
      </w:r>
      <w:r w:rsidR="0055126B">
        <w:rPr>
          <w:rFonts w:ascii="Calibri" w:eastAsia="Tahoma" w:hAnsi="Calibri" w:cs="Calibri"/>
          <w:sz w:val="22"/>
          <w:szCs w:val="22"/>
        </w:rPr>
        <w:t xml:space="preserve">, </w:t>
      </w:r>
      <w:r w:rsidR="00FF3CA0">
        <w:rPr>
          <w:rStyle w:val="normaltextrun"/>
          <w:rFonts w:ascii="Calibri" w:hAnsi="Calibri" w:cs="Calibri"/>
          <w:color w:val="000000"/>
          <w:sz w:val="22"/>
          <w:szCs w:val="22"/>
          <w:bdr w:val="none" w:sz="0" w:space="0" w:color="auto" w:frame="1"/>
        </w:rPr>
        <w:t xml:space="preserve">ημέρα </w:t>
      </w:r>
      <w:r w:rsidR="00381925" w:rsidRPr="00381925">
        <w:rPr>
          <w:rStyle w:val="normaltextrun"/>
          <w:rFonts w:ascii="Calibri" w:hAnsi="Calibri" w:cs="Calibri"/>
          <w:b/>
          <w:bCs/>
          <w:color w:val="000000"/>
          <w:sz w:val="22"/>
          <w:szCs w:val="22"/>
          <w:bdr w:val="none" w:sz="0" w:space="0" w:color="auto" w:frame="1"/>
        </w:rPr>
        <w:t>Παρασκευή</w:t>
      </w:r>
      <w:r w:rsidR="00381925">
        <w:rPr>
          <w:rStyle w:val="normaltextrun"/>
          <w:rFonts w:ascii="Calibri" w:hAnsi="Calibri" w:cs="Calibri"/>
          <w:color w:val="000000"/>
          <w:sz w:val="22"/>
          <w:szCs w:val="22"/>
          <w:bdr w:val="none" w:sz="0" w:space="0" w:color="auto" w:frame="1"/>
        </w:rPr>
        <w:t xml:space="preserve"> </w:t>
      </w:r>
      <w:r w:rsidR="57C14EEE">
        <w:rPr>
          <w:rStyle w:val="normaltextrun"/>
          <w:rFonts w:ascii="Calibri" w:hAnsi="Calibri" w:cs="Calibri"/>
          <w:color w:val="000000"/>
          <w:sz w:val="22"/>
          <w:szCs w:val="22"/>
          <w:bdr w:val="none" w:sz="0" w:space="0" w:color="auto" w:frame="1"/>
        </w:rPr>
        <w:t>κ</w:t>
      </w:r>
      <w:r w:rsidR="00FF3CA0">
        <w:rPr>
          <w:rStyle w:val="normaltextrun"/>
          <w:rFonts w:ascii="Calibri" w:hAnsi="Calibri" w:cs="Calibri"/>
          <w:color w:val="000000"/>
          <w:sz w:val="22"/>
          <w:szCs w:val="22"/>
          <w:bdr w:val="none" w:sz="0" w:space="0" w:color="auto" w:frame="1"/>
        </w:rPr>
        <w:t xml:space="preserve">αι ώρα </w:t>
      </w:r>
      <w:r w:rsidR="00381925" w:rsidRPr="00381925">
        <w:rPr>
          <w:rStyle w:val="normaltextrun"/>
          <w:rFonts w:ascii="Calibri" w:hAnsi="Calibri" w:cs="Calibri"/>
          <w:b/>
          <w:bCs/>
          <w:color w:val="000000"/>
          <w:sz w:val="22"/>
          <w:szCs w:val="22"/>
          <w:bdr w:val="none" w:sz="0" w:space="0" w:color="auto" w:frame="1"/>
        </w:rPr>
        <w:t>9</w:t>
      </w:r>
      <w:r w:rsidR="00FF3CA0" w:rsidRPr="7605B186">
        <w:rPr>
          <w:rStyle w:val="normaltextrun"/>
          <w:rFonts w:ascii="Calibri" w:hAnsi="Calibri" w:cs="Calibri"/>
          <w:b/>
          <w:bCs/>
          <w:color w:val="000000"/>
          <w:sz w:val="22"/>
          <w:szCs w:val="22"/>
          <w:bdr w:val="none" w:sz="0" w:space="0" w:color="auto" w:frame="1"/>
        </w:rPr>
        <w:t>:00</w:t>
      </w:r>
      <w:r w:rsidR="00C135B6">
        <w:rPr>
          <w:rStyle w:val="normaltextrun"/>
          <w:rFonts w:ascii="Calibri" w:hAnsi="Calibri" w:cs="Calibri"/>
          <w:b/>
          <w:bCs/>
          <w:color w:val="000000"/>
          <w:sz w:val="22"/>
          <w:szCs w:val="22"/>
          <w:bdr w:val="none" w:sz="0" w:space="0" w:color="auto" w:frame="1"/>
        </w:rPr>
        <w:t xml:space="preserve"> π.μ.</w:t>
      </w:r>
      <w:r w:rsidR="00004E28">
        <w:rPr>
          <w:rFonts w:ascii="Calibri" w:eastAsia="Tahoma" w:hAnsi="Calibri" w:cs="Calibri"/>
          <w:sz w:val="22"/>
          <w:szCs w:val="22"/>
        </w:rPr>
        <w:t>, ως ακολούθως:</w:t>
      </w:r>
    </w:p>
    <w:p w14:paraId="3C65FA4F" w14:textId="77777777" w:rsidR="00337FE8" w:rsidRDefault="00337FE8" w:rsidP="00613773">
      <w:pPr>
        <w:jc w:val="both"/>
        <w:rPr>
          <w:rFonts w:ascii="Calibri" w:eastAsia="Tahoma" w:hAnsi="Calibri" w:cs="Calibri"/>
          <w:sz w:val="22"/>
          <w:szCs w:val="22"/>
        </w:rPr>
      </w:pPr>
    </w:p>
    <w:p w14:paraId="286A5EDA" w14:textId="2485D047" w:rsidR="002A72AE" w:rsidRDefault="002A72AE" w:rsidP="00613773">
      <w:pPr>
        <w:jc w:val="both"/>
        <w:rPr>
          <w:rFonts w:ascii="Calibri" w:eastAsia="Tahoma" w:hAnsi="Calibri" w:cs="Calibri"/>
          <w:b/>
          <w:bCs/>
          <w:i/>
          <w:iCs/>
          <w:sz w:val="22"/>
          <w:szCs w:val="22"/>
        </w:rPr>
      </w:pPr>
      <w:r>
        <w:rPr>
          <w:rFonts w:ascii="Calibri" w:eastAsia="Tahoma" w:hAnsi="Calibri" w:cs="Calibri"/>
          <w:b/>
          <w:bCs/>
          <w:i/>
          <w:iCs/>
          <w:sz w:val="22"/>
          <w:szCs w:val="22"/>
        </w:rPr>
        <w:t>(</w:t>
      </w:r>
      <w:r w:rsidRPr="00E77346">
        <w:rPr>
          <w:rFonts w:ascii="Calibri" w:eastAsia="Tahoma" w:hAnsi="Calibri" w:cs="Calibri"/>
          <w:b/>
          <w:bCs/>
          <w:i/>
          <w:iCs/>
          <w:sz w:val="22"/>
          <w:szCs w:val="22"/>
        </w:rPr>
        <w:t>Παρακαλούμε σημειώστε με “</w:t>
      </w:r>
      <w:r w:rsidRPr="00E77346">
        <w:rPr>
          <w:rFonts w:ascii="Calibri" w:eastAsia="Tahoma" w:hAnsi="Calibri" w:cs="Calibri"/>
          <w:b/>
          <w:bCs/>
          <w:i/>
          <w:iCs/>
          <w:sz w:val="22"/>
          <w:szCs w:val="22"/>
          <w:lang w:val="en-US"/>
        </w:rPr>
        <w:t>X</w:t>
      </w:r>
      <w:r w:rsidRPr="00E77346">
        <w:rPr>
          <w:rFonts w:ascii="Calibri" w:eastAsia="Tahoma" w:hAnsi="Calibri" w:cs="Calibri"/>
          <w:b/>
          <w:bCs/>
          <w:i/>
          <w:iCs/>
          <w:sz w:val="22"/>
          <w:szCs w:val="22"/>
        </w:rPr>
        <w:t>” τ</w:t>
      </w:r>
      <w:r>
        <w:rPr>
          <w:rFonts w:ascii="Calibri" w:eastAsia="Tahoma" w:hAnsi="Calibri" w:cs="Calibri"/>
          <w:b/>
          <w:bCs/>
          <w:i/>
          <w:iCs/>
          <w:sz w:val="22"/>
          <w:szCs w:val="22"/>
        </w:rPr>
        <w:t>ην ψήφο σας</w:t>
      </w:r>
      <w:r w:rsidR="00774315">
        <w:rPr>
          <w:rFonts w:ascii="Calibri" w:eastAsia="Tahoma" w:hAnsi="Calibri" w:cs="Calibri"/>
          <w:b/>
          <w:bCs/>
          <w:i/>
          <w:iCs/>
          <w:sz w:val="22"/>
          <w:szCs w:val="22"/>
        </w:rPr>
        <w:t>)</w:t>
      </w:r>
    </w:p>
    <w:p w14:paraId="14E4C829" w14:textId="77777777" w:rsidR="00774315" w:rsidRDefault="00774315" w:rsidP="00613773">
      <w:pPr>
        <w:jc w:val="both"/>
        <w:rPr>
          <w:rFonts w:ascii="Calibri" w:eastAsia="Tahoma" w:hAnsi="Calibri" w:cs="Calibri"/>
          <w:b/>
          <w:bCs/>
          <w:i/>
          <w:iCs/>
          <w:sz w:val="22"/>
          <w:szCs w:val="22"/>
        </w:rPr>
      </w:pPr>
    </w:p>
    <w:tbl>
      <w:tblPr>
        <w:tblStyle w:val="TableGrid"/>
        <w:tblW w:w="9776" w:type="dxa"/>
        <w:tblLook w:val="04A0" w:firstRow="1" w:lastRow="0" w:firstColumn="1" w:lastColumn="0" w:noHBand="0" w:noVBand="1"/>
      </w:tblPr>
      <w:tblGrid>
        <w:gridCol w:w="3964"/>
        <w:gridCol w:w="2127"/>
        <w:gridCol w:w="2126"/>
        <w:gridCol w:w="1559"/>
      </w:tblGrid>
      <w:tr w:rsidR="00774315" w14:paraId="76ED8728" w14:textId="77777777" w:rsidTr="00774315">
        <w:tc>
          <w:tcPr>
            <w:tcW w:w="3964" w:type="dxa"/>
          </w:tcPr>
          <w:p w14:paraId="72E12401" w14:textId="287A6559" w:rsidR="00774315" w:rsidRDefault="00774315" w:rsidP="00774315">
            <w:pPr>
              <w:jc w:val="both"/>
              <w:rPr>
                <w:rFonts w:ascii="Calibri" w:eastAsia="Tahoma" w:hAnsi="Calibri" w:cs="Calibri"/>
                <w:sz w:val="22"/>
                <w:szCs w:val="22"/>
              </w:rPr>
            </w:pPr>
            <w:r w:rsidRPr="004B23D9">
              <w:rPr>
                <w:rFonts w:ascii="Calibri" w:eastAsia="Tahoma" w:hAnsi="Calibri" w:cs="Calibri"/>
                <w:b/>
                <w:sz w:val="22"/>
                <w:szCs w:val="22"/>
              </w:rPr>
              <w:t>ΘΕΜΑ</w:t>
            </w:r>
            <w:r>
              <w:rPr>
                <w:rFonts w:ascii="Calibri" w:eastAsia="Tahoma" w:hAnsi="Calibri" w:cs="Calibri"/>
                <w:b/>
                <w:sz w:val="22"/>
                <w:szCs w:val="22"/>
              </w:rPr>
              <w:t>ΤΑ</w:t>
            </w:r>
            <w:r w:rsidRPr="004B23D9">
              <w:rPr>
                <w:rFonts w:ascii="Calibri" w:eastAsia="Tahoma" w:hAnsi="Calibri" w:cs="Calibri"/>
                <w:b/>
                <w:sz w:val="22"/>
                <w:szCs w:val="22"/>
              </w:rPr>
              <w:t xml:space="preserve"> ΗΜΕΡΗΣΙΑΣ ΔΙΑΤΑΞΗΣ</w:t>
            </w:r>
          </w:p>
        </w:tc>
        <w:tc>
          <w:tcPr>
            <w:tcW w:w="2127" w:type="dxa"/>
          </w:tcPr>
          <w:p w14:paraId="422F285C" w14:textId="7A8EE297" w:rsidR="00774315" w:rsidRDefault="00774315" w:rsidP="00774315">
            <w:pPr>
              <w:jc w:val="center"/>
              <w:rPr>
                <w:rFonts w:ascii="Calibri" w:eastAsia="Tahoma" w:hAnsi="Calibri" w:cs="Calibri"/>
                <w:sz w:val="22"/>
                <w:szCs w:val="22"/>
              </w:rPr>
            </w:pPr>
            <w:r w:rsidRPr="004B23D9">
              <w:rPr>
                <w:rFonts w:ascii="Calibri" w:eastAsia="Tahoma" w:hAnsi="Calibri" w:cs="Calibri"/>
                <w:b/>
                <w:sz w:val="22"/>
                <w:szCs w:val="22"/>
              </w:rPr>
              <w:t>ΥΠΕΡ</w:t>
            </w:r>
          </w:p>
        </w:tc>
        <w:tc>
          <w:tcPr>
            <w:tcW w:w="2126" w:type="dxa"/>
          </w:tcPr>
          <w:p w14:paraId="262C1DC7" w14:textId="5697C433" w:rsidR="00774315" w:rsidRDefault="00774315" w:rsidP="00774315">
            <w:pPr>
              <w:jc w:val="center"/>
              <w:rPr>
                <w:rFonts w:ascii="Calibri" w:eastAsia="Tahoma" w:hAnsi="Calibri" w:cs="Calibri"/>
                <w:sz w:val="22"/>
                <w:szCs w:val="22"/>
              </w:rPr>
            </w:pPr>
            <w:r w:rsidRPr="004B23D9">
              <w:rPr>
                <w:rFonts w:ascii="Calibri" w:eastAsia="Tahoma" w:hAnsi="Calibri" w:cs="Calibri"/>
                <w:b/>
                <w:sz w:val="22"/>
                <w:szCs w:val="22"/>
              </w:rPr>
              <w:t>ΚΑΤΑ</w:t>
            </w:r>
          </w:p>
        </w:tc>
        <w:tc>
          <w:tcPr>
            <w:tcW w:w="1559" w:type="dxa"/>
          </w:tcPr>
          <w:p w14:paraId="057F124B" w14:textId="174EB06C" w:rsidR="00774315" w:rsidRDefault="00774315" w:rsidP="00774315">
            <w:pPr>
              <w:jc w:val="center"/>
              <w:rPr>
                <w:rFonts w:ascii="Calibri" w:eastAsia="Tahoma" w:hAnsi="Calibri" w:cs="Calibri"/>
                <w:sz w:val="22"/>
                <w:szCs w:val="22"/>
              </w:rPr>
            </w:pPr>
            <w:r w:rsidRPr="004B23D9">
              <w:rPr>
                <w:rFonts w:ascii="Calibri" w:eastAsia="Tahoma" w:hAnsi="Calibri" w:cs="Calibri"/>
                <w:b/>
                <w:sz w:val="22"/>
                <w:szCs w:val="22"/>
              </w:rPr>
              <w:t>ΑΠΟΧΗ</w:t>
            </w:r>
          </w:p>
        </w:tc>
      </w:tr>
      <w:tr w:rsidR="00774315" w14:paraId="3263D0BF" w14:textId="77777777" w:rsidTr="00774315">
        <w:trPr>
          <w:trHeight w:val="817"/>
        </w:trPr>
        <w:tc>
          <w:tcPr>
            <w:tcW w:w="3964" w:type="dxa"/>
          </w:tcPr>
          <w:p w14:paraId="1167076A" w14:textId="16F276F3" w:rsidR="00774315" w:rsidRPr="00774315" w:rsidRDefault="00774315" w:rsidP="00774315">
            <w:pPr>
              <w:jc w:val="both"/>
              <w:rPr>
                <w:rFonts w:ascii="Calibri" w:eastAsia="Tahoma" w:hAnsi="Calibri" w:cs="Calibri"/>
                <w:b/>
                <w:bCs/>
                <w:sz w:val="22"/>
                <w:szCs w:val="22"/>
              </w:rPr>
            </w:pPr>
            <w:r w:rsidRPr="00774315">
              <w:rPr>
                <w:rFonts w:ascii="Calibri" w:eastAsia="Tahoma" w:hAnsi="Calibri" w:cs="Calibri"/>
                <w:b/>
                <w:bCs/>
                <w:sz w:val="22"/>
                <w:szCs w:val="22"/>
              </w:rPr>
              <w:t>Για όλα τα θέματα τα ημερήσιας διάταξης</w:t>
            </w:r>
          </w:p>
        </w:tc>
        <w:tc>
          <w:tcPr>
            <w:tcW w:w="2127" w:type="dxa"/>
          </w:tcPr>
          <w:p w14:paraId="389426FB" w14:textId="77777777" w:rsidR="00774315" w:rsidRDefault="00774315" w:rsidP="00774315">
            <w:pPr>
              <w:jc w:val="both"/>
              <w:rPr>
                <w:rFonts w:ascii="Calibri" w:eastAsia="Tahoma" w:hAnsi="Calibri" w:cs="Calibri"/>
                <w:sz w:val="22"/>
                <w:szCs w:val="22"/>
              </w:rPr>
            </w:pPr>
          </w:p>
        </w:tc>
        <w:tc>
          <w:tcPr>
            <w:tcW w:w="2126" w:type="dxa"/>
          </w:tcPr>
          <w:p w14:paraId="26A82AE0" w14:textId="77777777" w:rsidR="00774315" w:rsidRDefault="00774315" w:rsidP="00774315">
            <w:pPr>
              <w:jc w:val="both"/>
              <w:rPr>
                <w:rFonts w:ascii="Calibri" w:eastAsia="Tahoma" w:hAnsi="Calibri" w:cs="Calibri"/>
                <w:sz w:val="22"/>
                <w:szCs w:val="22"/>
              </w:rPr>
            </w:pPr>
          </w:p>
        </w:tc>
        <w:tc>
          <w:tcPr>
            <w:tcW w:w="1559" w:type="dxa"/>
          </w:tcPr>
          <w:p w14:paraId="1C8195FD" w14:textId="77777777" w:rsidR="00774315" w:rsidRDefault="00774315" w:rsidP="00774315">
            <w:pPr>
              <w:jc w:val="both"/>
              <w:rPr>
                <w:rFonts w:ascii="Calibri" w:eastAsia="Tahoma" w:hAnsi="Calibri" w:cs="Calibri"/>
                <w:sz w:val="22"/>
                <w:szCs w:val="22"/>
              </w:rPr>
            </w:pPr>
          </w:p>
        </w:tc>
      </w:tr>
    </w:tbl>
    <w:p w14:paraId="43133C48" w14:textId="77777777" w:rsidR="00774315" w:rsidRDefault="00774315" w:rsidP="00613773">
      <w:pPr>
        <w:jc w:val="both"/>
        <w:rPr>
          <w:rFonts w:ascii="Calibri" w:eastAsia="Tahoma" w:hAnsi="Calibri" w:cs="Calibri"/>
          <w:sz w:val="22"/>
          <w:szCs w:val="22"/>
        </w:rPr>
      </w:pPr>
    </w:p>
    <w:p w14:paraId="62519757" w14:textId="6F27C8C8" w:rsidR="00774315" w:rsidRPr="00774315" w:rsidRDefault="00774315" w:rsidP="00613773">
      <w:pPr>
        <w:jc w:val="both"/>
        <w:rPr>
          <w:rFonts w:ascii="Calibri" w:eastAsia="Tahoma" w:hAnsi="Calibri" w:cs="Calibri"/>
          <w:b/>
          <w:bCs/>
          <w:sz w:val="22"/>
          <w:szCs w:val="22"/>
        </w:rPr>
      </w:pPr>
      <w:r w:rsidRPr="00774315">
        <w:rPr>
          <w:rFonts w:ascii="Calibri" w:eastAsia="Tahoma" w:hAnsi="Calibri" w:cs="Calibri"/>
          <w:b/>
          <w:bCs/>
          <w:sz w:val="22"/>
          <w:szCs w:val="22"/>
        </w:rPr>
        <w:t>Ή</w:t>
      </w:r>
    </w:p>
    <w:tbl>
      <w:tblPr>
        <w:tblW w:w="10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645"/>
        <w:gridCol w:w="992"/>
        <w:gridCol w:w="851"/>
        <w:gridCol w:w="1017"/>
      </w:tblGrid>
      <w:tr w:rsidR="00337FE8" w:rsidRPr="004B23D9" w14:paraId="12906028" w14:textId="77777777" w:rsidTr="0038649A">
        <w:trPr>
          <w:trHeight w:val="589"/>
        </w:trPr>
        <w:tc>
          <w:tcPr>
            <w:tcW w:w="7645" w:type="dxa"/>
            <w:shd w:val="clear" w:color="auto" w:fill="auto"/>
            <w:tcMar>
              <w:top w:w="100" w:type="dxa"/>
              <w:left w:w="100" w:type="dxa"/>
              <w:bottom w:w="100" w:type="dxa"/>
              <w:right w:w="100" w:type="dxa"/>
            </w:tcMar>
          </w:tcPr>
          <w:p w14:paraId="7633543D" w14:textId="77777777" w:rsidR="00337FE8" w:rsidRPr="00BA56B7" w:rsidRDefault="00337FE8" w:rsidP="0038649A">
            <w:pPr>
              <w:keepNext/>
              <w:keepLines/>
              <w:widowControl w:val="0"/>
              <w:spacing w:before="100" w:after="163" w:line="298" w:lineRule="auto"/>
              <w:ind w:right="-7"/>
              <w:jc w:val="center"/>
              <w:rPr>
                <w:rStyle w:val="Heading11"/>
                <w:u w:val="none"/>
              </w:rPr>
            </w:pPr>
            <w:r w:rsidRPr="004B23D9">
              <w:rPr>
                <w:rFonts w:ascii="Calibri" w:eastAsia="Tahoma" w:hAnsi="Calibri" w:cs="Calibri"/>
                <w:b/>
                <w:sz w:val="22"/>
                <w:szCs w:val="22"/>
              </w:rPr>
              <w:lastRenderedPageBreak/>
              <w:t>ΘΕΜΑ</w:t>
            </w:r>
            <w:r>
              <w:rPr>
                <w:rFonts w:ascii="Calibri" w:eastAsia="Tahoma" w:hAnsi="Calibri" w:cs="Calibri"/>
                <w:b/>
                <w:sz w:val="22"/>
                <w:szCs w:val="22"/>
              </w:rPr>
              <w:t>ΤΑ</w:t>
            </w:r>
            <w:r w:rsidRPr="004B23D9">
              <w:rPr>
                <w:rFonts w:ascii="Calibri" w:eastAsia="Tahoma" w:hAnsi="Calibri" w:cs="Calibri"/>
                <w:b/>
                <w:sz w:val="22"/>
                <w:szCs w:val="22"/>
              </w:rPr>
              <w:t xml:space="preserve"> ΗΜΕΡΗΣΙΑΣ ΔΙΑΤΑΞΗΣ</w:t>
            </w:r>
          </w:p>
        </w:tc>
        <w:tc>
          <w:tcPr>
            <w:tcW w:w="992" w:type="dxa"/>
            <w:shd w:val="clear" w:color="auto" w:fill="auto"/>
            <w:tcMar>
              <w:top w:w="100" w:type="dxa"/>
              <w:left w:w="100" w:type="dxa"/>
              <w:bottom w:w="100" w:type="dxa"/>
              <w:right w:w="100" w:type="dxa"/>
            </w:tcMar>
          </w:tcPr>
          <w:p w14:paraId="2A3393FC" w14:textId="77777777" w:rsidR="00337FE8" w:rsidRPr="004B23D9" w:rsidRDefault="00337FE8" w:rsidP="00C071BE">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ΥΠΕΡ</w:t>
            </w:r>
          </w:p>
        </w:tc>
        <w:tc>
          <w:tcPr>
            <w:tcW w:w="851" w:type="dxa"/>
            <w:shd w:val="clear" w:color="auto" w:fill="auto"/>
            <w:tcMar>
              <w:top w:w="100" w:type="dxa"/>
              <w:left w:w="100" w:type="dxa"/>
              <w:bottom w:w="100" w:type="dxa"/>
              <w:right w:w="100" w:type="dxa"/>
            </w:tcMar>
          </w:tcPr>
          <w:p w14:paraId="17C0ECB6" w14:textId="77777777" w:rsidR="00337FE8" w:rsidRPr="004B23D9" w:rsidRDefault="00337FE8" w:rsidP="00C071BE">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ΚΑΤΑ</w:t>
            </w:r>
          </w:p>
        </w:tc>
        <w:tc>
          <w:tcPr>
            <w:tcW w:w="1017" w:type="dxa"/>
            <w:shd w:val="clear" w:color="auto" w:fill="auto"/>
            <w:tcMar>
              <w:top w:w="100" w:type="dxa"/>
              <w:left w:w="100" w:type="dxa"/>
              <w:bottom w:w="100" w:type="dxa"/>
              <w:right w:w="100" w:type="dxa"/>
            </w:tcMar>
          </w:tcPr>
          <w:p w14:paraId="5F45C481" w14:textId="77777777" w:rsidR="00337FE8" w:rsidRPr="004B23D9" w:rsidRDefault="00337FE8" w:rsidP="00C071BE">
            <w:pPr>
              <w:widowControl w:val="0"/>
              <w:pBdr>
                <w:top w:val="nil"/>
                <w:left w:val="nil"/>
                <w:bottom w:val="nil"/>
                <w:right w:val="nil"/>
                <w:between w:val="nil"/>
              </w:pBdr>
              <w:jc w:val="center"/>
              <w:rPr>
                <w:rFonts w:ascii="Calibri" w:eastAsia="Tahoma" w:hAnsi="Calibri" w:cs="Calibri"/>
                <w:b/>
                <w:sz w:val="22"/>
                <w:szCs w:val="22"/>
              </w:rPr>
            </w:pPr>
            <w:r w:rsidRPr="004B23D9">
              <w:rPr>
                <w:rFonts w:ascii="Calibri" w:eastAsia="Tahoma" w:hAnsi="Calibri" w:cs="Calibri"/>
                <w:b/>
                <w:sz w:val="22"/>
                <w:szCs w:val="22"/>
              </w:rPr>
              <w:t>ΑΠΟΧΗ</w:t>
            </w:r>
          </w:p>
        </w:tc>
      </w:tr>
      <w:tr w:rsidR="00337FE8" w:rsidRPr="004B23D9" w14:paraId="0C099FF3" w14:textId="77777777" w:rsidTr="0038649A">
        <w:trPr>
          <w:trHeight w:val="1761"/>
        </w:trPr>
        <w:tc>
          <w:tcPr>
            <w:tcW w:w="7645" w:type="dxa"/>
            <w:shd w:val="clear" w:color="auto" w:fill="auto"/>
            <w:tcMar>
              <w:top w:w="100" w:type="dxa"/>
              <w:left w:w="100" w:type="dxa"/>
              <w:bottom w:w="100" w:type="dxa"/>
              <w:right w:w="100" w:type="dxa"/>
            </w:tcMar>
          </w:tcPr>
          <w:p w14:paraId="47C5A976" w14:textId="77777777" w:rsidR="00337FE8" w:rsidRPr="00E15F07" w:rsidRDefault="00337FE8" w:rsidP="00337FE8">
            <w:pPr>
              <w:pStyle w:val="ListParagraph"/>
              <w:keepNext/>
              <w:keepLines/>
              <w:widowControl w:val="0"/>
              <w:numPr>
                <w:ilvl w:val="0"/>
                <w:numId w:val="31"/>
              </w:numPr>
              <w:spacing w:before="100" w:after="163" w:line="298" w:lineRule="auto"/>
              <w:ind w:right="-7"/>
              <w:jc w:val="both"/>
              <w:rPr>
                <w:rStyle w:val="Heading11"/>
                <w:u w:val="none"/>
              </w:rPr>
            </w:pPr>
            <w:r w:rsidRPr="00E15F07">
              <w:rPr>
                <w:rStyle w:val="Heading11"/>
                <w:u w:val="none"/>
              </w:rPr>
              <w:t>Έγκριση των Ομολογιούχων για την προσθήκη και έτερου Χρηματοοικονομικού Δείκτη στο  Πρόγραμμα του ΚΟΔ και παροχή εξουσιοδότησης προς τον Εκπρόσωπο των Ομολογιούχων για την κωδικοποίηση και υπογραφή του Προγράμματος ΚΟΔ με ενσωμάτωση των κατωτέρω:</w:t>
            </w:r>
          </w:p>
          <w:p w14:paraId="0502DFEC" w14:textId="77777777" w:rsidR="00337FE8" w:rsidRPr="007F298B" w:rsidRDefault="00337FE8" w:rsidP="0038649A">
            <w:pPr>
              <w:pStyle w:val="ListParagraph"/>
              <w:keepNext/>
              <w:keepLines/>
              <w:spacing w:before="100" w:after="163" w:line="298" w:lineRule="auto"/>
              <w:ind w:right="-7"/>
              <w:jc w:val="both"/>
              <w:rPr>
                <w:rStyle w:val="Heading11"/>
              </w:rPr>
            </w:pPr>
          </w:p>
          <w:p w14:paraId="5A552238" w14:textId="77777777" w:rsidR="00337FE8" w:rsidRDefault="00337FE8" w:rsidP="0038649A">
            <w:pPr>
              <w:pStyle w:val="ListParagraph"/>
              <w:keepNext/>
              <w:keepLines/>
              <w:spacing w:before="100" w:after="163" w:line="298" w:lineRule="auto"/>
              <w:ind w:right="-7"/>
              <w:jc w:val="both"/>
              <w:rPr>
                <w:rStyle w:val="Heading11"/>
              </w:rPr>
            </w:pPr>
            <w:r>
              <w:rPr>
                <w:rStyle w:val="Heading11"/>
              </w:rPr>
              <w:t xml:space="preserve"> (α) στο σημ.1.1 του όρου 1 - Ορισμοί του Προγράμματος ΚΟΔ</w:t>
            </w:r>
            <w:r w:rsidRPr="00A838C5">
              <w:rPr>
                <w:rStyle w:val="Heading11"/>
              </w:rPr>
              <w:t xml:space="preserve">, </w:t>
            </w:r>
            <w:r>
              <w:rPr>
                <w:rStyle w:val="Heading11"/>
              </w:rPr>
              <w:t>προστίθενται ο</w:t>
            </w:r>
            <w:r w:rsidRPr="00A838C5">
              <w:rPr>
                <w:rStyle w:val="Heading11"/>
              </w:rPr>
              <w:t xml:space="preserve"> εξής</w:t>
            </w:r>
            <w:r>
              <w:rPr>
                <w:rStyle w:val="Heading11"/>
              </w:rPr>
              <w:t xml:space="preserve"> ορισμός</w:t>
            </w:r>
            <w:r w:rsidRPr="00A838C5">
              <w:rPr>
                <w:rStyle w:val="Heading11"/>
              </w:rPr>
              <w:t>:</w:t>
            </w:r>
          </w:p>
          <w:p w14:paraId="0F0EB51C" w14:textId="77777777" w:rsidR="00337FE8" w:rsidRPr="00605A50" w:rsidRDefault="00337FE8" w:rsidP="0038649A">
            <w:pPr>
              <w:ind w:left="709" w:right="65"/>
              <w:jc w:val="both"/>
              <w:rPr>
                <w:rFonts w:ascii="Calibri" w:eastAsia="Calibri" w:hAnsi="Calibri" w:cs="Calibri"/>
                <w:i/>
                <w:iCs/>
                <w:u w:val="single"/>
              </w:rPr>
            </w:pPr>
            <w:r w:rsidRPr="00605A50">
              <w:rPr>
                <w:rFonts w:ascii="Calibri" w:eastAsia="Calibri" w:hAnsi="Calibri" w:cs="Calibri"/>
                <w:b/>
                <w:bCs/>
                <w:i/>
                <w:iCs/>
                <w:u w:val="single"/>
              </w:rPr>
              <w:t>«</w:t>
            </w:r>
            <w:r w:rsidRPr="00155A36">
              <w:rPr>
                <w:rFonts w:asciiTheme="minorHAnsi" w:hAnsiTheme="minorHAnsi" w:cstheme="minorHAnsi"/>
                <w:b/>
                <w:i/>
                <w:iCs/>
                <w:u w:val="single"/>
              </w:rPr>
              <w:t xml:space="preserve">Δείκτης Καθαρής Αξίας Ενεργητικού </w:t>
            </w:r>
            <w:r w:rsidRPr="00155A36">
              <w:rPr>
                <w:rFonts w:asciiTheme="minorHAnsi" w:hAnsiTheme="minorHAnsi" w:cstheme="minorHAnsi"/>
                <w:i/>
                <w:iCs/>
                <w:u w:val="single"/>
              </w:rPr>
              <w:t xml:space="preserve">σημαίνει τον δείκτη που υπολογίζεται ως τα Ίδια Κεφάλαια της Εκδότριας αναπροσαρμοσμένα με τη διαφορά της </w:t>
            </w:r>
            <w:r>
              <w:rPr>
                <w:rFonts w:asciiTheme="minorHAnsi" w:hAnsiTheme="minorHAnsi" w:cstheme="minorHAnsi"/>
                <w:i/>
                <w:iCs/>
                <w:u w:val="single"/>
              </w:rPr>
              <w:t>α</w:t>
            </w:r>
            <w:r w:rsidRPr="00155A36">
              <w:rPr>
                <w:rFonts w:asciiTheme="minorHAnsi" w:hAnsiTheme="minorHAnsi" w:cstheme="minorHAnsi"/>
                <w:i/>
                <w:iCs/>
                <w:u w:val="single"/>
              </w:rPr>
              <w:t xml:space="preserve">γοραίας από τη </w:t>
            </w:r>
            <w:r>
              <w:rPr>
                <w:rFonts w:asciiTheme="minorHAnsi" w:hAnsiTheme="minorHAnsi" w:cstheme="minorHAnsi"/>
                <w:i/>
                <w:iCs/>
                <w:u w:val="single"/>
              </w:rPr>
              <w:t>λ</w:t>
            </w:r>
            <w:r w:rsidRPr="00155A36">
              <w:rPr>
                <w:rFonts w:asciiTheme="minorHAnsi" w:hAnsiTheme="minorHAnsi" w:cstheme="minorHAnsi"/>
                <w:i/>
                <w:iCs/>
                <w:u w:val="single"/>
              </w:rPr>
              <w:t>ογιστική αξία των συμμετοχών της, προς το σύνολο της ανεξόφλητης ονομαστικής αξίας των Ομολογιών, βάσει των πλέον πρόσφατων ελεγμένων ή επισκοπημένων οικονομικών καταστάσεων</w:t>
            </w:r>
            <w:r w:rsidRPr="00605A50">
              <w:rPr>
                <w:rFonts w:ascii="Calibri" w:eastAsia="Calibri" w:hAnsi="Calibri" w:cs="Calibri"/>
                <w:i/>
                <w:iCs/>
                <w:u w:val="single"/>
              </w:rPr>
              <w:t>.»</w:t>
            </w:r>
            <w:r w:rsidRPr="00B65093">
              <w:rPr>
                <w:rFonts w:asciiTheme="minorHAnsi" w:hAnsiTheme="minorHAnsi" w:cstheme="minorHAnsi"/>
                <w:i/>
                <w:iCs/>
                <w:u w:val="single"/>
                <w:vertAlign w:val="superscript"/>
              </w:rPr>
              <w:t xml:space="preserve"> </w:t>
            </w:r>
            <w:r>
              <w:rPr>
                <w:rStyle w:val="FootnoteReference"/>
                <w:rFonts w:asciiTheme="minorHAnsi" w:hAnsiTheme="minorHAnsi" w:cstheme="minorHAnsi"/>
                <w:i/>
                <w:iCs/>
                <w:u w:val="single"/>
              </w:rPr>
              <w:footnoteReference w:id="2"/>
            </w:r>
          </w:p>
          <w:p w14:paraId="4246A2D4" w14:textId="77777777" w:rsidR="00337FE8" w:rsidRPr="00E6435A" w:rsidRDefault="00337FE8" w:rsidP="0038649A">
            <w:pPr>
              <w:pStyle w:val="ListParagraph"/>
              <w:keepNext/>
              <w:keepLines/>
              <w:spacing w:before="100" w:after="163" w:line="298" w:lineRule="auto"/>
              <w:ind w:right="-7"/>
              <w:jc w:val="both"/>
              <w:rPr>
                <w:rFonts w:asciiTheme="minorHAnsi" w:hAnsiTheme="minorHAnsi" w:cstheme="minorHAnsi"/>
              </w:rPr>
            </w:pPr>
            <w:r>
              <w:rPr>
                <w:rFonts w:ascii="Calibri" w:eastAsia="Calibri" w:hAnsi="Calibri" w:cs="Calibri"/>
                <w:b/>
                <w:bCs/>
              </w:rPr>
              <w:t xml:space="preserve">(β) Τροποποίηση του ορισμού Χρηματοοικονομικοί Δείκτες στον όρο 1.1 του Προγράμματος ΚΟΔ ως εξής: </w:t>
            </w:r>
            <w:r w:rsidRPr="00782300">
              <w:rPr>
                <w:rFonts w:asciiTheme="minorHAnsi" w:hAnsiTheme="minorHAnsi" w:cstheme="minorHAnsi"/>
                <w:b/>
                <w:bCs/>
                <w:i/>
                <w:iCs/>
              </w:rPr>
              <w:t>Χρηματοοικονομικοί Δείκτες</w:t>
            </w:r>
            <w:r w:rsidRPr="00782300">
              <w:rPr>
                <w:rFonts w:asciiTheme="minorHAnsi" w:hAnsiTheme="minorHAnsi" w:cstheme="minorHAnsi"/>
                <w:i/>
                <w:iCs/>
              </w:rPr>
              <w:t xml:space="preserve"> σημαίνει τον Δείκτη Μόχλευσης, τον Δείκτη Μόχλευσης Θυγατρικών, τον Δείκτη Κάλυψης Χρηματοοικονομικών Υποχρεώσεων, τον Δείκτη Ταμειακής Κάλυψης </w:t>
            </w:r>
            <w:r w:rsidRPr="00782300">
              <w:rPr>
                <w:rFonts w:asciiTheme="minorHAnsi" w:hAnsiTheme="minorHAnsi" w:cstheme="minorHAnsi"/>
                <w:i/>
                <w:iCs/>
                <w:u w:val="single"/>
              </w:rPr>
              <w:t>και τον Δείκτη Καθαρής Αξίας Ενεργητικού</w:t>
            </w:r>
            <w:r>
              <w:rPr>
                <w:rStyle w:val="FootnoteReference"/>
                <w:rFonts w:asciiTheme="minorHAnsi" w:hAnsiTheme="minorHAnsi" w:cstheme="minorHAnsi"/>
                <w:i/>
                <w:iCs/>
                <w:u w:val="single"/>
              </w:rPr>
              <w:footnoteReference w:id="3"/>
            </w:r>
            <w:r w:rsidRPr="00782300">
              <w:rPr>
                <w:rFonts w:asciiTheme="minorHAnsi" w:hAnsiTheme="minorHAnsi" w:cstheme="minorHAnsi"/>
                <w:i/>
                <w:iCs/>
              </w:rPr>
              <w:t>.</w:t>
            </w:r>
          </w:p>
          <w:p w14:paraId="2AE16693" w14:textId="77777777" w:rsidR="00337FE8" w:rsidRDefault="00337FE8" w:rsidP="0038649A">
            <w:pPr>
              <w:pStyle w:val="ListParagraph"/>
              <w:keepNext/>
              <w:keepLines/>
              <w:spacing w:before="100" w:after="163" w:line="298" w:lineRule="auto"/>
              <w:ind w:right="-7"/>
              <w:jc w:val="both"/>
              <w:rPr>
                <w:rStyle w:val="Heading11"/>
              </w:rPr>
            </w:pPr>
            <w:r>
              <w:rPr>
                <w:rFonts w:ascii="Calibri" w:eastAsia="Calibri" w:hAnsi="Calibri" w:cs="Calibri"/>
                <w:b/>
                <w:bCs/>
              </w:rPr>
              <w:t xml:space="preserve">(γ) προσθήκη του Δείκτη Καθαρής Αξίας Ενεργητικού στο σημείο </w:t>
            </w:r>
            <w:r w:rsidRPr="00973D4B">
              <w:rPr>
                <w:rStyle w:val="Heading11"/>
              </w:rPr>
              <w:t>(</w:t>
            </w:r>
            <w:r>
              <w:rPr>
                <w:rStyle w:val="Heading11"/>
                <w:lang w:val="en-US"/>
              </w:rPr>
              <w:t>viii</w:t>
            </w:r>
            <w:r w:rsidRPr="00973D4B">
              <w:rPr>
                <w:rStyle w:val="Heading11"/>
              </w:rPr>
              <w:t xml:space="preserve">) </w:t>
            </w:r>
            <w:r>
              <w:rPr>
                <w:rStyle w:val="Heading11"/>
              </w:rPr>
              <w:t>του όρου 14.1 ως εξής:</w:t>
            </w:r>
          </w:p>
          <w:p w14:paraId="2428DACA" w14:textId="77777777" w:rsidR="00337FE8" w:rsidRDefault="00337FE8" w:rsidP="00337FE8">
            <w:pPr>
              <w:pStyle w:val="ListParagraph"/>
              <w:numPr>
                <w:ilvl w:val="0"/>
                <w:numId w:val="30"/>
              </w:numPr>
              <w:spacing w:after="120" w:line="276" w:lineRule="auto"/>
              <w:contextualSpacing w:val="0"/>
              <w:jc w:val="both"/>
              <w:rPr>
                <w:rFonts w:asciiTheme="minorHAnsi" w:hAnsiTheme="minorHAnsi" w:cstheme="minorHAnsi"/>
                <w:u w:val="single"/>
              </w:rPr>
            </w:pPr>
            <w:r w:rsidRPr="00C37E19">
              <w:rPr>
                <w:rFonts w:asciiTheme="minorHAnsi" w:hAnsiTheme="minorHAnsi" w:cstheme="minorHAnsi"/>
                <w:u w:val="single"/>
              </w:rPr>
              <w:t>Δείκτης Καθαρής Αξίας Ενεργητικού ≥ 1,25x</w:t>
            </w:r>
            <w:r>
              <w:rPr>
                <w:rFonts w:asciiTheme="minorHAnsi" w:hAnsiTheme="minorHAnsi" w:cstheme="minorHAnsi"/>
                <w:u w:val="single"/>
              </w:rPr>
              <w:t xml:space="preserve"> </w:t>
            </w:r>
            <w:r>
              <w:rPr>
                <w:rStyle w:val="FootnoteReference"/>
                <w:rFonts w:asciiTheme="minorHAnsi" w:hAnsiTheme="minorHAnsi" w:cstheme="minorHAnsi"/>
                <w:u w:val="single"/>
              </w:rPr>
              <w:footnoteReference w:id="4"/>
            </w:r>
          </w:p>
          <w:p w14:paraId="4E5E3280" w14:textId="77777777" w:rsidR="00337FE8" w:rsidRPr="00FC34EE" w:rsidRDefault="00337FE8" w:rsidP="0038649A">
            <w:pPr>
              <w:spacing w:after="120" w:line="276" w:lineRule="auto"/>
              <w:ind w:left="709"/>
              <w:jc w:val="both"/>
              <w:rPr>
                <w:rFonts w:ascii="Calibri" w:eastAsia="Tahoma" w:hAnsi="Calibri" w:cs="Calibri"/>
                <w:b/>
                <w:sz w:val="22"/>
                <w:szCs w:val="22"/>
              </w:rPr>
            </w:pPr>
            <w:r w:rsidRPr="001C2F37">
              <w:rPr>
                <w:rFonts w:asciiTheme="minorHAnsi" w:hAnsiTheme="minorHAnsi" w:cstheme="minorHAnsi"/>
                <w:b/>
                <w:bCs/>
              </w:rPr>
              <w:t>(δ)</w:t>
            </w:r>
            <w:r>
              <w:rPr>
                <w:rFonts w:asciiTheme="minorHAnsi" w:hAnsiTheme="minorHAnsi" w:cstheme="minorHAnsi"/>
                <w:b/>
                <w:bCs/>
              </w:rPr>
              <w:t xml:space="preserve"> προσθήκη του </w:t>
            </w:r>
            <w:r>
              <w:rPr>
                <w:rFonts w:ascii="Calibri" w:eastAsia="Calibri" w:hAnsi="Calibri" w:cs="Calibri"/>
                <w:b/>
                <w:bCs/>
              </w:rPr>
              <w:t xml:space="preserve">Δείκτη Καθαρής Αξίας Ενεργητικού: </w:t>
            </w:r>
            <w:r w:rsidRPr="00802E03">
              <w:rPr>
                <w:rStyle w:val="Heading11"/>
                <w:u w:val="none"/>
              </w:rPr>
              <w:t xml:space="preserve">στο παράρτημα Α του Προγράμματος ΚΟΔ του Υποδείγματος του πιστοποιητικού συμμόρφωσης, στο Παράρτημα του πιστοποιητικού συμμόρφωσης στην παρ.3 σημείο </w:t>
            </w:r>
            <w:r w:rsidRPr="00802E03">
              <w:rPr>
                <w:rStyle w:val="Heading11"/>
                <w:u w:val="none"/>
                <w:lang w:val="en-US"/>
              </w:rPr>
              <w:t>VII</w:t>
            </w:r>
            <w:r w:rsidRPr="00802E03">
              <w:rPr>
                <w:rStyle w:val="Heading11"/>
                <w:u w:val="none"/>
              </w:rPr>
              <w:t xml:space="preserve"> και στο Παράρτημα Χρηματοοικονομικών Δεικτών υπό σημ. Ε ώστε να συμπεριλαμβάνεται ο νέος δείκτης και ο τρόπος υπολογισμού του.</w:t>
            </w:r>
          </w:p>
        </w:tc>
        <w:tc>
          <w:tcPr>
            <w:tcW w:w="992" w:type="dxa"/>
            <w:shd w:val="clear" w:color="auto" w:fill="auto"/>
            <w:tcMar>
              <w:top w:w="100" w:type="dxa"/>
              <w:left w:w="100" w:type="dxa"/>
              <w:bottom w:w="100" w:type="dxa"/>
              <w:right w:w="100" w:type="dxa"/>
            </w:tcMar>
          </w:tcPr>
          <w:p w14:paraId="0EC43E68"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199AD075" w14:textId="77777777" w:rsidR="00337FE8" w:rsidRPr="004B23D9" w:rsidRDefault="00337FE8" w:rsidP="0038649A">
            <w:pPr>
              <w:widowControl w:val="0"/>
              <w:pBdr>
                <w:top w:val="nil"/>
                <w:left w:val="nil"/>
                <w:bottom w:val="nil"/>
                <w:right w:val="nil"/>
                <w:between w:val="nil"/>
              </w:pBdr>
              <w:ind w:left="-831"/>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633BE694"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r>
      <w:tr w:rsidR="00337FE8" w:rsidRPr="004B23D9" w14:paraId="09D23AFE" w14:textId="77777777" w:rsidTr="0038649A">
        <w:trPr>
          <w:trHeight w:val="1761"/>
        </w:trPr>
        <w:tc>
          <w:tcPr>
            <w:tcW w:w="7645" w:type="dxa"/>
            <w:shd w:val="clear" w:color="auto" w:fill="auto"/>
            <w:tcMar>
              <w:top w:w="100" w:type="dxa"/>
              <w:left w:w="100" w:type="dxa"/>
              <w:bottom w:w="100" w:type="dxa"/>
              <w:right w:w="100" w:type="dxa"/>
            </w:tcMar>
          </w:tcPr>
          <w:p w14:paraId="6849DB22" w14:textId="77777777" w:rsidR="00337FE8" w:rsidRPr="00802E03" w:rsidRDefault="00337FE8" w:rsidP="00337FE8">
            <w:pPr>
              <w:pStyle w:val="ListParagraph"/>
              <w:keepNext/>
              <w:keepLines/>
              <w:widowControl w:val="0"/>
              <w:numPr>
                <w:ilvl w:val="0"/>
                <w:numId w:val="31"/>
              </w:numPr>
              <w:spacing w:line="298" w:lineRule="auto"/>
              <w:ind w:right="-7"/>
              <w:jc w:val="both"/>
              <w:textAlignment w:val="baseline"/>
              <w:rPr>
                <w:rStyle w:val="Heading11"/>
                <w:rFonts w:ascii="Segoe UI" w:eastAsia="Arial Unicode MS" w:hAnsi="Segoe UI" w:cs="Segoe UI"/>
                <w:b w:val="0"/>
                <w:bCs w:val="0"/>
                <w:i/>
                <w:iCs/>
                <w:sz w:val="22"/>
                <w:szCs w:val="22"/>
                <w:u w:val="none"/>
              </w:rPr>
            </w:pPr>
            <w:r w:rsidRPr="00802E03">
              <w:rPr>
                <w:rStyle w:val="Heading11"/>
                <w:u w:val="none"/>
              </w:rPr>
              <w:lastRenderedPageBreak/>
              <w:t xml:space="preserve">Έγκριση των Ομολογιούχων για την προσθήκη στον αριθμητή του Δείκτη Ταμειακής Κάλυψης επιπλέον οικονομικών στοιχείων και παροχή εξουσιοδότησης προς τον Εκπρόσωπο των Ομολογιούχων για την κωδικοποίηση και υπογραφή του Προγράμματος ΚΟΔ με ενσωμάτωση των κατωτέρω: </w:t>
            </w:r>
          </w:p>
          <w:p w14:paraId="7468877B" w14:textId="77777777" w:rsidR="00337FE8" w:rsidRPr="00802E03" w:rsidRDefault="00337FE8" w:rsidP="0038649A">
            <w:pPr>
              <w:pStyle w:val="ListParagraph"/>
              <w:keepNext/>
              <w:keepLines/>
              <w:spacing w:line="298" w:lineRule="auto"/>
              <w:ind w:right="-7"/>
              <w:jc w:val="both"/>
              <w:textAlignment w:val="baseline"/>
              <w:rPr>
                <w:rStyle w:val="Heading11"/>
                <w:rFonts w:ascii="Segoe UI" w:eastAsia="Arial Unicode MS" w:hAnsi="Segoe UI" w:cs="Segoe UI"/>
                <w:b w:val="0"/>
                <w:bCs w:val="0"/>
                <w:i/>
                <w:iCs/>
                <w:sz w:val="22"/>
                <w:szCs w:val="22"/>
                <w:u w:val="none"/>
              </w:rPr>
            </w:pPr>
            <w:r w:rsidRPr="00802E03">
              <w:rPr>
                <w:rStyle w:val="Heading11"/>
                <w:u w:val="none"/>
              </w:rPr>
              <w:t xml:space="preserve">(α) στον όρο 1.1 του Προγράμματος ΚΟΔ, ως κάτωθι: </w:t>
            </w:r>
          </w:p>
          <w:p w14:paraId="69227B9B" w14:textId="77777777" w:rsidR="00337FE8" w:rsidRPr="00A175FA" w:rsidRDefault="00337FE8" w:rsidP="0038649A">
            <w:pPr>
              <w:pStyle w:val="ListParagraph"/>
              <w:keepNext/>
              <w:keepLines/>
              <w:spacing w:line="298" w:lineRule="auto"/>
              <w:ind w:right="-7"/>
              <w:jc w:val="both"/>
              <w:textAlignment w:val="baseline"/>
              <w:rPr>
                <w:rFonts w:ascii="Segoe UI" w:hAnsi="Segoe UI" w:cs="Segoe UI"/>
                <w:i/>
                <w:iCs/>
                <w:sz w:val="22"/>
                <w:szCs w:val="22"/>
              </w:rPr>
            </w:pPr>
            <w:r w:rsidRPr="00A175FA">
              <w:rPr>
                <w:rStyle w:val="findhit"/>
                <w:rFonts w:eastAsia="Calibri"/>
                <w:b/>
                <w:bCs/>
                <w:i/>
                <w:iCs/>
                <w:sz w:val="22"/>
                <w:szCs w:val="22"/>
              </w:rPr>
              <w:t>«Δείκτης Ταμειακής Κάλυψης</w:t>
            </w:r>
            <w:r w:rsidRPr="00A175FA">
              <w:rPr>
                <w:rStyle w:val="normaltextrun"/>
                <w:rFonts w:ascii="Calibri" w:hAnsi="Calibri" w:cs="Calibri"/>
                <w:b/>
                <w:bCs/>
                <w:i/>
                <w:iCs/>
                <w:sz w:val="22"/>
                <w:szCs w:val="22"/>
              </w:rPr>
              <w:t xml:space="preserve"> </w:t>
            </w:r>
            <w:r w:rsidRPr="00A175FA">
              <w:rPr>
                <w:rStyle w:val="normaltextrun"/>
                <w:rFonts w:ascii="Calibri" w:hAnsi="Calibri" w:cs="Calibri"/>
                <w:i/>
                <w:iCs/>
                <w:sz w:val="22"/>
                <w:szCs w:val="22"/>
              </w:rPr>
              <w:t>σημαίνει τον δείκτη που προκύπτει από την εξής διαίρεση:</w:t>
            </w:r>
            <w:r w:rsidRPr="00A175FA">
              <w:rPr>
                <w:rStyle w:val="eop"/>
                <w:rFonts w:ascii="Calibri" w:hAnsi="Calibri" w:cs="Calibri"/>
                <w:i/>
                <w:iCs/>
                <w:sz w:val="22"/>
                <w:szCs w:val="22"/>
              </w:rPr>
              <w:t> </w:t>
            </w:r>
          </w:p>
          <w:p w14:paraId="6AECE84F" w14:textId="77777777" w:rsidR="00337FE8" w:rsidRPr="00E24566" w:rsidRDefault="00337FE8" w:rsidP="0038649A">
            <w:pPr>
              <w:pStyle w:val="paragraph"/>
              <w:spacing w:before="0" w:beforeAutospacing="0" w:after="0" w:afterAutospacing="0"/>
              <w:ind w:left="720"/>
              <w:textAlignment w:val="baseline"/>
              <w:rPr>
                <w:rFonts w:ascii="Segoe UI" w:hAnsi="Segoe UI" w:cs="Segoe UI"/>
                <w:i/>
                <w:iCs/>
                <w:sz w:val="22"/>
                <w:szCs w:val="22"/>
                <w:lang w:val="el-GR"/>
              </w:rPr>
            </w:pPr>
            <w:r w:rsidRPr="00E24566">
              <w:rPr>
                <w:rStyle w:val="normaltextrun"/>
                <w:rFonts w:ascii="Calibri" w:hAnsi="Calibri" w:cs="Calibri"/>
                <w:i/>
                <w:iCs/>
                <w:sz w:val="22"/>
                <w:szCs w:val="22"/>
                <w:lang w:val="el-GR"/>
              </w:rPr>
              <w:t>(ΚΤΡΛΔ + Διανομές + Έσοδα Τόκων</w:t>
            </w:r>
            <w:r w:rsidRPr="00E24566">
              <w:rPr>
                <w:rStyle w:val="normaltextrun"/>
                <w:rFonts w:ascii="Calibri" w:hAnsi="Calibri" w:cs="Calibri"/>
                <w:i/>
                <w:iCs/>
                <w:color w:val="FF0000"/>
                <w:sz w:val="22"/>
                <w:szCs w:val="22"/>
                <w:lang w:val="el-GR"/>
              </w:rPr>
              <w:t xml:space="preserve"> </w:t>
            </w:r>
            <w:r w:rsidRPr="00E24566">
              <w:rPr>
                <w:rStyle w:val="normaltextrun"/>
                <w:rFonts w:ascii="Calibri" w:hAnsi="Calibri" w:cs="Calibri"/>
                <w:i/>
                <w:iCs/>
                <w:sz w:val="22"/>
                <w:szCs w:val="22"/>
                <w:u w:val="single"/>
                <w:lang w:val="el-GR"/>
              </w:rPr>
              <w:t>+ Έσοδα Διάθεσης Περιουσιακών Στοιχείων</w:t>
            </w:r>
            <w:r>
              <w:rPr>
                <w:rStyle w:val="normaltextrun"/>
                <w:rFonts w:ascii="Calibri" w:hAnsi="Calibri" w:cs="Calibri"/>
                <w:i/>
                <w:iCs/>
                <w:sz w:val="22"/>
                <w:szCs w:val="22"/>
                <w:u w:val="single"/>
                <w:lang w:val="el-GR"/>
              </w:rPr>
              <w:t xml:space="preserve"> +Υπερβάλλον Ποσό </w:t>
            </w:r>
            <w:r w:rsidRPr="00B51F98">
              <w:rPr>
                <w:rStyle w:val="normaltextrun"/>
                <w:rFonts w:ascii="Calibri" w:hAnsi="Calibri" w:cs="Calibri"/>
                <w:i/>
                <w:iCs/>
                <w:sz w:val="22"/>
                <w:szCs w:val="22"/>
                <w:u w:val="single"/>
                <w:lang w:val="el-GR"/>
              </w:rPr>
              <w:t>Κάλυψης</w:t>
            </w:r>
            <w:r w:rsidRPr="00B51F98">
              <w:rPr>
                <w:rStyle w:val="normaltextrun"/>
                <w:rFonts w:ascii="Calibri" w:hAnsi="Calibri" w:cs="Calibri"/>
                <w:i/>
                <w:iCs/>
                <w:sz w:val="22"/>
                <w:szCs w:val="22"/>
                <w:lang w:val="el-GR"/>
              </w:rPr>
              <w:t xml:space="preserve"> </w:t>
            </w:r>
            <w:r>
              <w:rPr>
                <w:rStyle w:val="FootnoteReference"/>
                <w:rFonts w:ascii="Calibri" w:hAnsi="Calibri" w:cs="Calibri"/>
                <w:i/>
                <w:iCs/>
                <w:sz w:val="22"/>
                <w:szCs w:val="22"/>
                <w:lang w:val="el-GR"/>
              </w:rPr>
              <w:footnoteReference w:id="5"/>
            </w:r>
            <w:r w:rsidRPr="00B51F98">
              <w:rPr>
                <w:rStyle w:val="normaltextrun"/>
                <w:rFonts w:ascii="Calibri" w:hAnsi="Calibri" w:cs="Calibri"/>
                <w:i/>
                <w:iCs/>
                <w:sz w:val="22"/>
                <w:szCs w:val="22"/>
                <w:lang w:val="el-GR"/>
              </w:rPr>
              <w:t xml:space="preserve"> </w:t>
            </w:r>
            <w:r w:rsidRPr="00E24566">
              <w:rPr>
                <w:rStyle w:val="normaltextrun"/>
                <w:rFonts w:ascii="Calibri" w:hAnsi="Calibri" w:cs="Calibri"/>
                <w:i/>
                <w:iCs/>
                <w:sz w:val="22"/>
                <w:szCs w:val="22"/>
                <w:lang w:val="el-GR"/>
              </w:rPr>
              <w:t>/Έξοδα Τόκων</w:t>
            </w:r>
            <w:r w:rsidRPr="00E24566">
              <w:rPr>
                <w:rStyle w:val="eop"/>
                <w:rFonts w:ascii="Calibri" w:hAnsi="Calibri" w:cs="Calibri"/>
                <w:i/>
                <w:iCs/>
                <w:sz w:val="22"/>
                <w:szCs w:val="22"/>
              </w:rPr>
              <w:t> </w:t>
            </w:r>
          </w:p>
          <w:p w14:paraId="1D991A55" w14:textId="77777777" w:rsidR="00337FE8" w:rsidRPr="00802091" w:rsidRDefault="00337FE8" w:rsidP="0038649A">
            <w:pPr>
              <w:pStyle w:val="paragraph"/>
              <w:spacing w:before="0" w:beforeAutospacing="0" w:after="0" w:afterAutospacing="0"/>
              <w:ind w:left="720" w:right="345"/>
              <w:jc w:val="both"/>
              <w:textAlignment w:val="baseline"/>
              <w:rPr>
                <w:rFonts w:ascii="Segoe UI" w:hAnsi="Segoe UI" w:cs="Segoe UI"/>
                <w:i/>
                <w:iCs/>
                <w:sz w:val="22"/>
                <w:szCs w:val="22"/>
                <w:lang w:val="el-GR"/>
              </w:rPr>
            </w:pPr>
            <w:r w:rsidRPr="00E24566">
              <w:rPr>
                <w:rStyle w:val="normaltextrun"/>
                <w:rFonts w:ascii="Calibri" w:hAnsi="Calibri" w:cs="Calibri"/>
                <w:i/>
                <w:iCs/>
                <w:sz w:val="22"/>
                <w:szCs w:val="22"/>
                <w:lang w:val="el-GR"/>
              </w:rPr>
              <w:t>Όπου: </w:t>
            </w:r>
            <w:r w:rsidRPr="00E24566">
              <w:rPr>
                <w:rStyle w:val="eop"/>
                <w:rFonts w:ascii="Calibri" w:hAnsi="Calibri" w:cs="Calibri"/>
                <w:i/>
                <w:iCs/>
                <w:sz w:val="22"/>
                <w:szCs w:val="22"/>
              </w:rPr>
              <w:t> </w:t>
            </w:r>
          </w:p>
          <w:p w14:paraId="1593FDA2" w14:textId="77777777" w:rsidR="00337FE8" w:rsidRPr="00E24566" w:rsidRDefault="00337FE8" w:rsidP="0038649A">
            <w:pPr>
              <w:pStyle w:val="paragraph"/>
              <w:spacing w:before="0" w:beforeAutospacing="0" w:after="0" w:afterAutospacing="0"/>
              <w:ind w:left="720" w:right="345"/>
              <w:jc w:val="both"/>
              <w:textAlignment w:val="baseline"/>
              <w:rPr>
                <w:rFonts w:ascii="Segoe UI" w:hAnsi="Segoe UI" w:cs="Segoe UI"/>
                <w:i/>
                <w:iCs/>
                <w:sz w:val="22"/>
                <w:szCs w:val="22"/>
                <w:lang w:val="el-GR"/>
              </w:rPr>
            </w:pPr>
            <w:r w:rsidRPr="00E24566">
              <w:rPr>
                <w:rStyle w:val="normaltextrun"/>
                <w:rFonts w:ascii="Calibri" w:hAnsi="Calibri" w:cs="Calibri"/>
                <w:b/>
                <w:bCs/>
                <w:i/>
                <w:iCs/>
                <w:sz w:val="22"/>
                <w:szCs w:val="22"/>
                <w:lang w:val="el-GR"/>
              </w:rPr>
              <w:t>ΚΤΡΛΔ</w:t>
            </w:r>
            <w:r w:rsidRPr="00E24566">
              <w:rPr>
                <w:rStyle w:val="normaltextrun"/>
                <w:rFonts w:ascii="Calibri" w:hAnsi="Calibri" w:cs="Calibri"/>
                <w:i/>
                <w:iCs/>
                <w:sz w:val="22"/>
                <w:szCs w:val="22"/>
                <w:lang w:val="el-GR"/>
              </w:rPr>
              <w:t xml:space="preserve"> σημαίνει για τις δύο πλέον πρόσφατες Εξαμηνιαίες Περιόδους τις καθαρές ταμειακές ροές από λειτουργικές δραστηριότητες σε επίπεδο Εκδότριας (όπως αυτές αποτυπώνονται στην κατάσταση ταμειακών ροών των Οικονομικών Καταστάσεων της Εκδότριας) από τις οποίες έχει  αφαιρεθεί το ποσό Μεταβολών Κεφαλαίου Κίνησης, όπως αυτό προκύπτει από τις πιο πρόσφατες Οικονομικές Καταστάσεις της Εκδότριας (και συγκεκριμένα στην υποενότητα «πλέον/ μείον προσαρμογές για μεταβολές λογαριασμών κεφαλαίου κίνησης» της κατάστασης ταμειακών ροών των ατομικών οικονομικών καταστάσεων της Εκδότριας). </w:t>
            </w:r>
            <w:r w:rsidRPr="00E24566">
              <w:rPr>
                <w:rStyle w:val="eop"/>
                <w:rFonts w:ascii="Calibri" w:hAnsi="Calibri" w:cs="Calibri"/>
                <w:i/>
                <w:iCs/>
                <w:sz w:val="22"/>
                <w:szCs w:val="22"/>
              </w:rPr>
              <w:t> </w:t>
            </w:r>
          </w:p>
          <w:p w14:paraId="6975DFA7" w14:textId="77777777" w:rsidR="00337FE8" w:rsidRPr="00E24566" w:rsidRDefault="00337FE8" w:rsidP="0038649A">
            <w:pPr>
              <w:pStyle w:val="paragraph"/>
              <w:spacing w:before="0" w:beforeAutospacing="0" w:after="0" w:afterAutospacing="0"/>
              <w:ind w:left="720" w:right="345"/>
              <w:jc w:val="both"/>
              <w:textAlignment w:val="baseline"/>
              <w:rPr>
                <w:rFonts w:ascii="Segoe UI" w:hAnsi="Segoe UI" w:cs="Segoe UI"/>
                <w:i/>
                <w:iCs/>
                <w:sz w:val="22"/>
                <w:szCs w:val="22"/>
                <w:lang w:val="el-GR"/>
              </w:rPr>
            </w:pPr>
            <w:r w:rsidRPr="00E24566">
              <w:rPr>
                <w:rStyle w:val="normaltextrun"/>
                <w:rFonts w:ascii="Calibri" w:hAnsi="Calibri" w:cs="Calibri"/>
                <w:b/>
                <w:bCs/>
                <w:i/>
                <w:iCs/>
                <w:sz w:val="22"/>
                <w:szCs w:val="22"/>
                <w:lang w:val="el-GR"/>
              </w:rPr>
              <w:t>Διανομές</w:t>
            </w:r>
            <w:r w:rsidRPr="00E24566">
              <w:rPr>
                <w:rStyle w:val="normaltextrun"/>
                <w:rFonts w:ascii="Calibri" w:hAnsi="Calibri" w:cs="Calibri"/>
                <w:i/>
                <w:iCs/>
                <w:sz w:val="22"/>
                <w:szCs w:val="22"/>
                <w:lang w:val="el-GR"/>
              </w:rPr>
              <w:t xml:space="preserve"> σημαίνει για τις δύο πλέον πρόσφατες Εξαμηνιαίες Περιόδους το άθροισμα των κάθε είδους ποσών διανομών που έχει εισπράξει η Εκδότρια από τις Θυγατρικές της (συμπεριλαμβανομένων μερισμάτων, προμερισμάτων, επιστροφών κεφαλαίου κ.α.) με βάση τις ατομικές οικονομικές καταστάσεις της Εκδότριας.</w:t>
            </w:r>
            <w:r w:rsidRPr="00E24566">
              <w:rPr>
                <w:rStyle w:val="eop"/>
                <w:rFonts w:ascii="Calibri" w:hAnsi="Calibri" w:cs="Calibri"/>
                <w:i/>
                <w:iCs/>
                <w:sz w:val="22"/>
                <w:szCs w:val="22"/>
              </w:rPr>
              <w:t> </w:t>
            </w:r>
          </w:p>
          <w:p w14:paraId="6A120586" w14:textId="77777777" w:rsidR="00337FE8" w:rsidRPr="00E24566" w:rsidRDefault="00337FE8" w:rsidP="0038649A">
            <w:pPr>
              <w:pStyle w:val="paragraph"/>
              <w:spacing w:before="0" w:beforeAutospacing="0" w:after="0" w:afterAutospacing="0"/>
              <w:ind w:left="720" w:right="345"/>
              <w:jc w:val="both"/>
              <w:textAlignment w:val="baseline"/>
              <w:rPr>
                <w:rFonts w:ascii="Segoe UI" w:hAnsi="Segoe UI" w:cs="Segoe UI"/>
                <w:i/>
                <w:iCs/>
                <w:sz w:val="22"/>
                <w:szCs w:val="22"/>
                <w:lang w:val="el-GR"/>
              </w:rPr>
            </w:pPr>
            <w:r w:rsidRPr="00E24566">
              <w:rPr>
                <w:rStyle w:val="normaltextrun"/>
                <w:rFonts w:ascii="Calibri" w:hAnsi="Calibri" w:cs="Calibri"/>
                <w:b/>
                <w:bCs/>
                <w:i/>
                <w:iCs/>
                <w:sz w:val="22"/>
                <w:szCs w:val="22"/>
                <w:lang w:val="el-GR"/>
              </w:rPr>
              <w:t>Έσοδα Τόκων</w:t>
            </w:r>
            <w:r w:rsidRPr="00E24566">
              <w:rPr>
                <w:rStyle w:val="normaltextrun"/>
                <w:rFonts w:ascii="Calibri" w:hAnsi="Calibri" w:cs="Calibri"/>
                <w:i/>
                <w:iCs/>
                <w:sz w:val="22"/>
                <w:szCs w:val="22"/>
                <w:lang w:val="el-GR"/>
              </w:rPr>
              <w:t xml:space="preserve"> σημαίνει για τις δύο πλέον πρόσφατες Εξαμηνιαίες Περιόδους το άθροισμα των κάθε είδους τόκων που έχει εισπράξει η Εκδότρια  με βάση τις ατομικές οικονομικές καταστάσεις της Εκδότριας.</w:t>
            </w:r>
            <w:r w:rsidRPr="00E24566">
              <w:rPr>
                <w:rStyle w:val="eop"/>
                <w:rFonts w:ascii="Calibri" w:hAnsi="Calibri" w:cs="Calibri"/>
                <w:i/>
                <w:iCs/>
                <w:sz w:val="22"/>
                <w:szCs w:val="22"/>
              </w:rPr>
              <w:t> </w:t>
            </w:r>
          </w:p>
          <w:p w14:paraId="506AC92F" w14:textId="77777777" w:rsidR="00337FE8" w:rsidRPr="00E24566" w:rsidRDefault="00337FE8" w:rsidP="0038649A">
            <w:pPr>
              <w:pStyle w:val="paragraph"/>
              <w:spacing w:before="0" w:beforeAutospacing="0" w:after="0" w:afterAutospacing="0"/>
              <w:ind w:left="720" w:right="345"/>
              <w:jc w:val="both"/>
              <w:textAlignment w:val="baseline"/>
              <w:rPr>
                <w:rFonts w:ascii="Segoe UI" w:hAnsi="Segoe UI" w:cs="Segoe UI"/>
                <w:i/>
                <w:iCs/>
                <w:sz w:val="22"/>
                <w:szCs w:val="22"/>
                <w:lang w:val="el-GR"/>
              </w:rPr>
            </w:pPr>
            <w:r w:rsidRPr="00E24566">
              <w:rPr>
                <w:rStyle w:val="normaltextrun"/>
                <w:rFonts w:ascii="Calibri" w:hAnsi="Calibri" w:cs="Calibri"/>
                <w:b/>
                <w:bCs/>
                <w:i/>
                <w:iCs/>
                <w:sz w:val="22"/>
                <w:szCs w:val="22"/>
                <w:lang w:val="el-GR"/>
              </w:rPr>
              <w:t>Έξοδα Τόκων</w:t>
            </w:r>
            <w:r w:rsidRPr="00E24566">
              <w:rPr>
                <w:rStyle w:val="normaltextrun"/>
                <w:rFonts w:ascii="Calibri" w:hAnsi="Calibri" w:cs="Calibri"/>
                <w:i/>
                <w:iCs/>
                <w:sz w:val="22"/>
                <w:szCs w:val="22"/>
                <w:lang w:val="el-GR"/>
              </w:rPr>
              <w:t xml:space="preserve"> σημαίνει για τις δύο πλέον πρόσφατες Εξαμηνιαίες Περιόδους το άθροισμα των κάθε είδους τόκων που έχει καταβάλει η Εκδότρια με βάση τις ατομικές οικονομικές καταστάσεις της Εκδότριας.</w:t>
            </w:r>
            <w:r w:rsidRPr="00E24566">
              <w:rPr>
                <w:rStyle w:val="eop"/>
                <w:rFonts w:ascii="Calibri" w:hAnsi="Calibri" w:cs="Calibri"/>
                <w:i/>
                <w:iCs/>
                <w:sz w:val="22"/>
                <w:szCs w:val="22"/>
              </w:rPr>
              <w:t> </w:t>
            </w:r>
          </w:p>
          <w:p w14:paraId="2BB4F24F" w14:textId="77777777" w:rsidR="00337FE8" w:rsidRPr="00D93C69" w:rsidRDefault="00337FE8" w:rsidP="0038649A">
            <w:pPr>
              <w:pStyle w:val="paragraph"/>
              <w:spacing w:before="0" w:beforeAutospacing="0" w:after="0" w:afterAutospacing="0"/>
              <w:ind w:left="720" w:right="345"/>
              <w:jc w:val="both"/>
              <w:textAlignment w:val="baseline"/>
              <w:rPr>
                <w:rStyle w:val="normaltextrun"/>
                <w:rFonts w:ascii="Calibri" w:hAnsi="Calibri" w:cs="Calibri"/>
                <w:i/>
                <w:iCs/>
                <w:sz w:val="22"/>
                <w:szCs w:val="22"/>
                <w:vertAlign w:val="superscript"/>
                <w:lang w:val="el-GR"/>
              </w:rPr>
            </w:pPr>
            <w:r w:rsidRPr="00E24566">
              <w:rPr>
                <w:rStyle w:val="normaltextrun"/>
                <w:rFonts w:ascii="Calibri" w:hAnsi="Calibri" w:cs="Calibri"/>
                <w:b/>
                <w:bCs/>
                <w:i/>
                <w:iCs/>
                <w:sz w:val="22"/>
                <w:szCs w:val="22"/>
                <w:u w:val="single"/>
                <w:lang w:val="el-GR"/>
              </w:rPr>
              <w:t>Έσοδα Διάθεσης Περιουσιακών Στοιχείων</w:t>
            </w:r>
            <w:r w:rsidRPr="00E24566">
              <w:rPr>
                <w:rStyle w:val="normaltextrun"/>
                <w:rFonts w:ascii="Calibri" w:hAnsi="Calibri" w:cs="Calibri"/>
                <w:i/>
                <w:iCs/>
                <w:sz w:val="22"/>
                <w:szCs w:val="22"/>
                <w:u w:val="single"/>
                <w:lang w:val="el-GR"/>
              </w:rPr>
              <w:t xml:space="preserve"> σημαίνει </w:t>
            </w:r>
            <w:r>
              <w:rPr>
                <w:rStyle w:val="normaltextrun"/>
                <w:rFonts w:ascii="Calibri" w:hAnsi="Calibri" w:cs="Calibri"/>
                <w:i/>
                <w:iCs/>
                <w:sz w:val="22"/>
                <w:szCs w:val="22"/>
                <w:u w:val="single"/>
                <w:lang w:val="el-GR"/>
              </w:rPr>
              <w:t xml:space="preserve">για τις δύο πλέον πρόσφατες Εξαμηνιαίες Περιόδους </w:t>
            </w:r>
            <w:r w:rsidRPr="00E24566">
              <w:rPr>
                <w:rStyle w:val="normaltextrun"/>
                <w:rFonts w:ascii="Calibri" w:hAnsi="Calibri" w:cs="Calibri"/>
                <w:i/>
                <w:iCs/>
                <w:sz w:val="22"/>
                <w:szCs w:val="22"/>
                <w:u w:val="single"/>
                <w:lang w:val="el-GR"/>
              </w:rPr>
              <w:t>τα εισπραχθέντα ποσά σε μετρητά από τη Διάθεση Περιουσιακών Στοιχείων με βάση τις ατομικές οικονομικές καταστάσεις της Εκδότρια</w:t>
            </w:r>
            <w:r>
              <w:rPr>
                <w:rStyle w:val="normaltextrun"/>
                <w:rFonts w:ascii="Calibri" w:hAnsi="Calibri" w:cs="Calibri"/>
                <w:i/>
                <w:iCs/>
                <w:sz w:val="22"/>
                <w:szCs w:val="22"/>
                <w:u w:val="single"/>
                <w:lang w:val="el-GR"/>
              </w:rPr>
              <w:t>ς.</w:t>
            </w:r>
            <w:r>
              <w:rPr>
                <w:rStyle w:val="FootnoteReference"/>
                <w:rFonts w:ascii="Calibri" w:hAnsi="Calibri" w:cs="Calibri"/>
                <w:i/>
                <w:iCs/>
                <w:sz w:val="22"/>
                <w:szCs w:val="22"/>
                <w:u w:val="single"/>
                <w:lang w:val="el-GR"/>
              </w:rPr>
              <w:footnoteReference w:id="6"/>
            </w:r>
          </w:p>
          <w:p w14:paraId="57C07932" w14:textId="77777777" w:rsidR="00337FE8" w:rsidRPr="00E24566" w:rsidRDefault="00337FE8" w:rsidP="0038649A">
            <w:pPr>
              <w:pStyle w:val="paragraph"/>
              <w:spacing w:before="0" w:beforeAutospacing="0" w:after="0" w:afterAutospacing="0"/>
              <w:ind w:left="720" w:right="345"/>
              <w:jc w:val="both"/>
              <w:textAlignment w:val="baseline"/>
              <w:rPr>
                <w:rFonts w:ascii="Segoe UI" w:hAnsi="Segoe UI" w:cs="Segoe UI"/>
                <w:i/>
                <w:iCs/>
                <w:sz w:val="22"/>
                <w:szCs w:val="22"/>
                <w:u w:val="single"/>
                <w:lang w:val="el-GR"/>
              </w:rPr>
            </w:pPr>
            <w:r>
              <w:rPr>
                <w:rStyle w:val="normaltextrun"/>
                <w:rFonts w:ascii="Calibri" w:hAnsi="Calibri" w:cs="Calibri"/>
                <w:b/>
                <w:bCs/>
                <w:i/>
                <w:iCs/>
                <w:sz w:val="22"/>
                <w:szCs w:val="22"/>
                <w:u w:val="single"/>
                <w:lang w:val="el-GR"/>
              </w:rPr>
              <w:t xml:space="preserve">Υπερβάλλον Ποσό Κάλυψης </w:t>
            </w:r>
            <w:r w:rsidRPr="00906B9B">
              <w:rPr>
                <w:rStyle w:val="normaltextrun"/>
                <w:rFonts w:ascii="Calibri" w:hAnsi="Calibri" w:cs="Calibri"/>
                <w:i/>
                <w:iCs/>
                <w:sz w:val="22"/>
                <w:szCs w:val="22"/>
                <w:u w:val="single"/>
                <w:lang w:val="el-GR"/>
              </w:rPr>
              <w:t xml:space="preserve">σημαίνει </w:t>
            </w:r>
            <w:r>
              <w:rPr>
                <w:rStyle w:val="normaltextrun"/>
                <w:rFonts w:ascii="Calibri" w:hAnsi="Calibri" w:cs="Calibri"/>
                <w:i/>
                <w:iCs/>
                <w:sz w:val="22"/>
                <w:szCs w:val="22"/>
                <w:u w:val="single"/>
                <w:lang w:val="el-GR"/>
              </w:rPr>
              <w:t>το υπερβάλλον ποσό κάλυψης του Δείκτη Ταμειακής Κάλυψης προκύπτον κατά τον υπολογισμό του σε προηγούμενη ημερομηνία αναφοράς και το οποίο προσμετράται στον υπολογισμό του εν λόγω δείκτη στην τρέχουσα περίοδο αναφοράς και κατά το μέρος αυτού που συνεχίζει να προσαυξάνει τον λογαριασμό «Κέρδη εις Νέον» της Εκδότριας, με ημερομηνία αναφοράς το Οικονομικό Έτος έκδοσης του ΚΟΔ.</w:t>
            </w:r>
            <w:r>
              <w:rPr>
                <w:rStyle w:val="FootnoteReference"/>
                <w:rFonts w:ascii="Calibri" w:hAnsi="Calibri" w:cs="Calibri"/>
                <w:i/>
                <w:iCs/>
                <w:sz w:val="22"/>
                <w:szCs w:val="22"/>
                <w:lang w:val="el-GR"/>
              </w:rPr>
              <w:footnoteReference w:id="7"/>
            </w:r>
          </w:p>
          <w:p w14:paraId="0DF64B5C" w14:textId="77777777" w:rsidR="00337FE8" w:rsidRPr="00A2200B" w:rsidRDefault="00337FE8" w:rsidP="0038649A">
            <w:pPr>
              <w:ind w:left="709"/>
              <w:jc w:val="both"/>
              <w:rPr>
                <w:rFonts w:asciiTheme="minorHAnsi" w:hAnsiTheme="minorHAnsi" w:cstheme="minorHAnsi"/>
                <w:u w:val="single"/>
              </w:rPr>
            </w:pPr>
          </w:p>
          <w:p w14:paraId="3CB5B3E1" w14:textId="77777777" w:rsidR="00337FE8" w:rsidRPr="00373C67" w:rsidRDefault="00337FE8" w:rsidP="0038649A">
            <w:pPr>
              <w:ind w:left="709"/>
              <w:jc w:val="both"/>
              <w:rPr>
                <w:rStyle w:val="Heading11"/>
                <w:u w:val="none"/>
              </w:rPr>
            </w:pPr>
            <w:r w:rsidRPr="00373C67">
              <w:rPr>
                <w:rStyle w:val="Heading11"/>
                <w:u w:val="none"/>
              </w:rPr>
              <w:t>(γ) στο Παράρτημα των Χρηματοοικονομικών Δεικτών υπό σημ. Δ. τροποποιείται ο πίνακας υπολογισμού του Δείκτη Ταμειακής Κάλυψης για τη συμπερίληψη των Εσόδων Διάθεσης  Περιουσιακών Στοιχείων και το Υπερβάλλον Ποσό Κάλυψης με βάση τις ατομικές οικονομικές καταστάσεις της Εταιρείας.</w:t>
            </w:r>
          </w:p>
        </w:tc>
        <w:tc>
          <w:tcPr>
            <w:tcW w:w="992" w:type="dxa"/>
            <w:shd w:val="clear" w:color="auto" w:fill="auto"/>
            <w:tcMar>
              <w:top w:w="100" w:type="dxa"/>
              <w:left w:w="100" w:type="dxa"/>
              <w:bottom w:w="100" w:type="dxa"/>
              <w:right w:w="100" w:type="dxa"/>
            </w:tcMar>
          </w:tcPr>
          <w:p w14:paraId="21C2A611"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4369A029"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46321165"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r>
      <w:tr w:rsidR="00337FE8" w:rsidRPr="004B23D9" w14:paraId="7160139C" w14:textId="77777777" w:rsidTr="0038649A">
        <w:trPr>
          <w:trHeight w:val="589"/>
        </w:trPr>
        <w:tc>
          <w:tcPr>
            <w:tcW w:w="7645" w:type="dxa"/>
            <w:shd w:val="clear" w:color="auto" w:fill="auto"/>
            <w:tcMar>
              <w:top w:w="100" w:type="dxa"/>
              <w:left w:w="100" w:type="dxa"/>
              <w:bottom w:w="100" w:type="dxa"/>
              <w:right w:w="100" w:type="dxa"/>
            </w:tcMar>
          </w:tcPr>
          <w:p w14:paraId="612DD9F2" w14:textId="77777777" w:rsidR="00337FE8" w:rsidRPr="00802E03" w:rsidRDefault="00337FE8" w:rsidP="00337FE8">
            <w:pPr>
              <w:pStyle w:val="ListParagraph"/>
              <w:widowControl w:val="0"/>
              <w:numPr>
                <w:ilvl w:val="0"/>
                <w:numId w:val="31"/>
              </w:numPr>
              <w:jc w:val="both"/>
              <w:rPr>
                <w:rStyle w:val="Heading11"/>
                <w:u w:val="none"/>
              </w:rPr>
            </w:pPr>
            <w:r w:rsidRPr="00802E03">
              <w:rPr>
                <w:rStyle w:val="Heading11"/>
                <w:u w:val="none"/>
              </w:rPr>
              <w:t>Έγκριση των Ομολογιούχων για την προσθήκη όρου στο σημ. (</w:t>
            </w:r>
            <w:r w:rsidRPr="00802E03">
              <w:rPr>
                <w:rStyle w:val="Heading11"/>
                <w:u w:val="none"/>
                <w:lang w:val="en-US"/>
              </w:rPr>
              <w:t>xix</w:t>
            </w:r>
            <w:r w:rsidRPr="00802E03">
              <w:rPr>
                <w:rStyle w:val="Heading11"/>
                <w:u w:val="none"/>
              </w:rPr>
              <w:t>) (5) (3) του όρου 14 του Προγράμματος του ΚΟΔ και παροχή εξουσιοδότησης προς τον</w:t>
            </w:r>
            <w:r>
              <w:rPr>
                <w:rStyle w:val="Heading11"/>
              </w:rPr>
              <w:t xml:space="preserve"> </w:t>
            </w:r>
            <w:r w:rsidRPr="00802E03">
              <w:rPr>
                <w:rStyle w:val="Heading11"/>
                <w:u w:val="none"/>
              </w:rPr>
              <w:lastRenderedPageBreak/>
              <w:t>Εκπρόσωπο των Ομολογιούχων για την κωδικοποίηση και υπογραφή του Προγράμματος ΚΟΔ με ενσωμάτωση των κατωτέρω:</w:t>
            </w:r>
          </w:p>
          <w:p w14:paraId="370EF12E" w14:textId="77777777" w:rsidR="00337FE8" w:rsidRDefault="00337FE8" w:rsidP="0038649A">
            <w:pPr>
              <w:spacing w:after="120" w:line="276" w:lineRule="auto"/>
              <w:ind w:left="709"/>
              <w:jc w:val="both"/>
              <w:rPr>
                <w:rFonts w:asciiTheme="minorHAnsi" w:hAnsiTheme="minorHAnsi" w:cstheme="minorHAnsi"/>
              </w:rPr>
            </w:pPr>
            <w:r>
              <w:rPr>
                <w:rStyle w:val="Heading11"/>
              </w:rPr>
              <w:t>(</w:t>
            </w:r>
            <w:r>
              <w:rPr>
                <w:rStyle w:val="Heading11"/>
                <w:lang w:val="en-US"/>
              </w:rPr>
              <w:t>xix</w:t>
            </w:r>
            <w:r w:rsidRPr="00443A03">
              <w:rPr>
                <w:rStyle w:val="Heading11"/>
              </w:rPr>
              <w:t>)</w:t>
            </w:r>
            <w:r w:rsidRPr="000C73D4">
              <w:rPr>
                <w:rStyle w:val="Heading11"/>
              </w:rPr>
              <w:t>[</w:t>
            </w:r>
            <w:r>
              <w:rPr>
                <w:rStyle w:val="Heading11"/>
              </w:rPr>
              <w:t>…</w:t>
            </w:r>
            <w:r w:rsidRPr="000C73D4">
              <w:rPr>
                <w:rStyle w:val="Heading11"/>
              </w:rPr>
              <w:t>]</w:t>
            </w:r>
            <w:r w:rsidRPr="0029097E">
              <w:rPr>
                <w:rStyle w:val="Heading11"/>
              </w:rPr>
              <w:t xml:space="preserve">(5) </w:t>
            </w:r>
            <w:r w:rsidRPr="0029097E">
              <w:rPr>
                <w:rFonts w:asciiTheme="minorHAnsi" w:hAnsiTheme="minorHAnsi" w:cstheme="minorHAnsi"/>
              </w:rPr>
              <w:t>Μέχρι και την Ημερομηνία Αποπληρωμής του Ομολογιακού Δανείου, και ανεξαρτήτως όλων των υποχρεώσεων καταβολών με βάση τους όρους του Προγράμματος, η Εκδότρια υποχρεούται να διασφαλίζει σωρευτικά ότι θα τηρούνται διαθέσιμα κεφάλαια που ισούνται κατ’ ελάχιστον με τα ελάχιστα ποσά που προβλέπονται σωρευτικά κατωτέρω:</w:t>
            </w:r>
          </w:p>
          <w:p w14:paraId="53474A80" w14:textId="77777777" w:rsidR="00337FE8" w:rsidRPr="0059733F" w:rsidRDefault="00337FE8" w:rsidP="0038649A">
            <w:pPr>
              <w:spacing w:after="120" w:line="276" w:lineRule="auto"/>
              <w:ind w:left="709"/>
              <w:jc w:val="both"/>
              <w:rPr>
                <w:rFonts w:asciiTheme="minorHAnsi" w:hAnsiTheme="minorHAnsi" w:cstheme="minorHAnsi"/>
                <w:b/>
                <w:bCs/>
              </w:rPr>
            </w:pPr>
            <w:r w:rsidRPr="0059733F">
              <w:rPr>
                <w:rStyle w:val="Heading11"/>
                <w:b w:val="0"/>
                <w:bCs w:val="0"/>
                <w:u w:val="none"/>
              </w:rPr>
              <w:t>………………………………………………………………………………………………………………………………………………………………………………………………………………………………………………………..</w:t>
            </w:r>
          </w:p>
          <w:p w14:paraId="7101F3B4" w14:textId="77777777" w:rsidR="00337FE8" w:rsidRPr="00E15F07" w:rsidRDefault="00337FE8" w:rsidP="0038649A">
            <w:pPr>
              <w:pStyle w:val="ListParagraph"/>
              <w:spacing w:after="120" w:line="276" w:lineRule="auto"/>
              <w:jc w:val="both"/>
              <w:rPr>
                <w:rStyle w:val="Heading11"/>
              </w:rPr>
            </w:pPr>
            <w:r w:rsidRPr="003C33CB">
              <w:rPr>
                <w:rFonts w:asciiTheme="minorHAnsi" w:hAnsiTheme="minorHAnsi" w:cstheme="minorHAnsi"/>
              </w:rPr>
              <w:t xml:space="preserve">(3) εφόσον σε οποιαδήποτε εταιρική χρήση κατά τη διάρκεια του Ομολογιακού Δανείου, η Εκδότρια προβεί σε κάθε είδους διανομή προς τους μετόχους (συμπεριλαμβανομένων μερισμάτων, προμερισμάτων, επιστροφών κεφαλαίου κ.α.) σε συνολικό ποσό που, κατά το χρόνο έγκρισης από την αντίστοιχη γενική συνέλευση, υπερβαίνει το τριάντα πέντε τοις εκατό (35%) (το «Υπερβάλλον Ποσό») των ενοποιημένων καθαρών κερδών της Εκδότριας όπως προκύπτουν από τις πιο πρόσφατες Οικονομικές Καταστάσεις </w:t>
            </w:r>
            <w:r w:rsidRPr="003C33CB">
              <w:rPr>
                <w:rFonts w:asciiTheme="minorHAnsi" w:hAnsiTheme="minorHAnsi" w:cstheme="minorHAnsi"/>
                <w:u w:val="single"/>
              </w:rPr>
              <w:t xml:space="preserve">και ο Δείκτης Καθαρής Αξίας Ενεργητικού όπως υπολογίστηκε στην πιο πρόσφατη ημερομηνία Αναφοράς και επιβεβαιώθηκε με το </w:t>
            </w:r>
            <w:r>
              <w:rPr>
                <w:rFonts w:asciiTheme="minorHAnsi" w:hAnsiTheme="minorHAnsi" w:cstheme="minorHAnsi"/>
                <w:u w:val="single"/>
              </w:rPr>
              <w:t>Π</w:t>
            </w:r>
            <w:r w:rsidRPr="003C33CB">
              <w:rPr>
                <w:rFonts w:asciiTheme="minorHAnsi" w:hAnsiTheme="minorHAnsi" w:cstheme="minorHAnsi"/>
                <w:u w:val="single"/>
              </w:rPr>
              <w:t>ιστοποιητικό Συμμόρφωσης είναι μικρότερος από 1,</w:t>
            </w:r>
            <w:r>
              <w:rPr>
                <w:rFonts w:asciiTheme="minorHAnsi" w:hAnsiTheme="minorHAnsi" w:cstheme="minorHAnsi"/>
                <w:u w:val="single"/>
              </w:rPr>
              <w:t>3</w:t>
            </w:r>
            <w:r w:rsidRPr="003C33CB">
              <w:rPr>
                <w:rFonts w:asciiTheme="minorHAnsi" w:hAnsiTheme="minorHAnsi" w:cstheme="minorHAnsi"/>
                <w:u w:val="single"/>
              </w:rPr>
              <w:t>x,</w:t>
            </w:r>
            <w:r>
              <w:rPr>
                <w:rStyle w:val="FootnoteReference"/>
                <w:rFonts w:asciiTheme="minorHAnsi" w:hAnsiTheme="minorHAnsi" w:cstheme="minorHAnsi"/>
              </w:rPr>
              <w:footnoteReference w:id="8"/>
            </w:r>
            <w:r w:rsidRPr="003C33CB">
              <w:rPr>
                <w:rFonts w:asciiTheme="minorHAnsi" w:hAnsiTheme="minorHAnsi" w:cstheme="minorHAnsi"/>
              </w:rPr>
              <w:t xml:space="preserve"> ποσό που ισούται με το Υπερβάλλον Ποσό, θα καταβάλλεται στο Λογαριασμό Εξασφάλισης Ομολογιακού Δανείου DSRA κατά τη σχετική ημερομηνία καταβολής προς τους μετόχους και θα διατηρείται σε αυτόν μέχρι και την Ημερομηνία Αποπληρωμής του Ομολογιακού Δανείου (και τα ανωτέρω θα ισχύουν και για κάθε τυχόν νέο Υπερβάλλον Ποσό επόμενης εταιρικής χρήσης),</w:t>
            </w:r>
          </w:p>
        </w:tc>
        <w:tc>
          <w:tcPr>
            <w:tcW w:w="992" w:type="dxa"/>
            <w:shd w:val="clear" w:color="auto" w:fill="auto"/>
            <w:tcMar>
              <w:top w:w="100" w:type="dxa"/>
              <w:left w:w="100" w:type="dxa"/>
              <w:bottom w:w="100" w:type="dxa"/>
              <w:right w:w="100" w:type="dxa"/>
            </w:tcMar>
          </w:tcPr>
          <w:p w14:paraId="72EF2D1C"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5CA27A97"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6045D097"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r>
      <w:tr w:rsidR="00337FE8" w:rsidRPr="004B23D9" w14:paraId="51CDA0D6" w14:textId="77777777" w:rsidTr="0038649A">
        <w:trPr>
          <w:trHeight w:val="589"/>
        </w:trPr>
        <w:tc>
          <w:tcPr>
            <w:tcW w:w="7645" w:type="dxa"/>
            <w:shd w:val="clear" w:color="auto" w:fill="auto"/>
            <w:tcMar>
              <w:top w:w="100" w:type="dxa"/>
              <w:left w:w="100" w:type="dxa"/>
              <w:bottom w:w="100" w:type="dxa"/>
              <w:right w:w="100" w:type="dxa"/>
            </w:tcMar>
          </w:tcPr>
          <w:p w14:paraId="7C9F5A23" w14:textId="77777777" w:rsidR="00373C67" w:rsidRPr="00373C67" w:rsidRDefault="00373C67" w:rsidP="00373C67">
            <w:pPr>
              <w:pStyle w:val="ListParagraph"/>
              <w:widowControl w:val="0"/>
              <w:numPr>
                <w:ilvl w:val="0"/>
                <w:numId w:val="31"/>
              </w:numPr>
              <w:jc w:val="both"/>
              <w:rPr>
                <w:rStyle w:val="Heading11"/>
                <w:u w:val="none"/>
              </w:rPr>
            </w:pPr>
            <w:bookmarkStart w:id="0" w:name="_Hlk190450670"/>
            <w:r w:rsidRPr="00373C67">
              <w:rPr>
                <w:rStyle w:val="Heading11"/>
                <w:u w:val="none"/>
              </w:rPr>
              <w:t>Έγκριση των Ομολογιούχων για την προσθήκη εδαφίων στο σημ. (</w:t>
            </w:r>
            <w:r w:rsidRPr="00373C67">
              <w:rPr>
                <w:rStyle w:val="Heading11"/>
                <w:u w:val="none"/>
                <w:lang w:val="en-US"/>
              </w:rPr>
              <w:t>xix</w:t>
            </w:r>
            <w:r w:rsidRPr="00373C67">
              <w:rPr>
                <w:rStyle w:val="Heading11"/>
                <w:u w:val="none"/>
              </w:rPr>
              <w:t>) (5) (2) του όρου 14 του Προγράμματος του ΚΟΔ και παροχή εξουσιοδότησης προς τον Εκπρόσωπο των Ομολογιούχων για την κωδικοποίηση και υπογραφή του Προγράμματος ΚΟΔ με ενσωμάτωση των κατωτέρω:</w:t>
            </w:r>
          </w:p>
          <w:p w14:paraId="0851F5A4" w14:textId="77777777" w:rsidR="00373C67" w:rsidRDefault="00373C67" w:rsidP="00373C67">
            <w:pPr>
              <w:spacing w:after="120" w:line="276" w:lineRule="auto"/>
              <w:ind w:left="709"/>
              <w:jc w:val="both"/>
              <w:rPr>
                <w:rFonts w:asciiTheme="minorHAnsi" w:hAnsiTheme="minorHAnsi" w:cstheme="minorHAnsi"/>
              </w:rPr>
            </w:pPr>
            <w:r w:rsidRPr="00077945">
              <w:rPr>
                <w:rStyle w:val="Heading11"/>
              </w:rPr>
              <w:t>(</w:t>
            </w:r>
            <w:r w:rsidRPr="00077945">
              <w:rPr>
                <w:rStyle w:val="Heading11"/>
                <w:lang w:val="en-US"/>
              </w:rPr>
              <w:t>xix</w:t>
            </w:r>
            <w:r w:rsidRPr="00077945">
              <w:rPr>
                <w:rStyle w:val="Heading11"/>
              </w:rPr>
              <w:t xml:space="preserve">)[…](5) </w:t>
            </w:r>
            <w:r w:rsidRPr="00077945">
              <w:rPr>
                <w:rFonts w:asciiTheme="minorHAnsi" w:hAnsiTheme="minorHAnsi" w:cstheme="minorHAnsi"/>
              </w:rPr>
              <w:t>Μέχρι και την Ημερομηνία Αποπληρωμής του Ομολογιακού Δανείου, και ανεξαρτήτως όλων των υποχρεώσεων καταβολών με βάση τους όρους του Προγράμματος, η Εκδότρια υποχρεούται να διασφαλίζει σωρευτικά ότι θα τηρούνται διαθέσιμα κεφάλαια που ισούνται κατ’ ελάχιστον με τα ελάχιστα ποσά που προβλέπονται σωρευτικά κατωτέρω:</w:t>
            </w:r>
          </w:p>
          <w:p w14:paraId="68E894A1" w14:textId="3A955B23" w:rsidR="0029408E" w:rsidRPr="0029408E" w:rsidRDefault="0029408E" w:rsidP="00373C67">
            <w:pPr>
              <w:spacing w:after="120" w:line="276" w:lineRule="auto"/>
              <w:ind w:left="709"/>
              <w:jc w:val="both"/>
              <w:rPr>
                <w:rFonts w:asciiTheme="minorHAnsi" w:hAnsiTheme="minorHAnsi" w:cstheme="minorHAnsi"/>
                <w:b/>
                <w:bCs/>
              </w:rPr>
            </w:pPr>
            <w:r w:rsidRPr="0029408E">
              <w:rPr>
                <w:rStyle w:val="Heading11"/>
                <w:b w:val="0"/>
                <w:bCs w:val="0"/>
                <w:u w:val="none"/>
              </w:rPr>
              <w:t>…………………………………………………………………………………………………………………………………………………………………………………………………………………………………………………………</w:t>
            </w:r>
            <w:r w:rsidR="00223B8B">
              <w:rPr>
                <w:rStyle w:val="Heading11"/>
                <w:b w:val="0"/>
                <w:bCs w:val="0"/>
                <w:u w:val="none"/>
              </w:rPr>
              <w:t>…..</w:t>
            </w:r>
          </w:p>
          <w:p w14:paraId="4B49510B" w14:textId="77777777" w:rsidR="00373C67" w:rsidRPr="00077945" w:rsidRDefault="00373C67" w:rsidP="00373C67">
            <w:pPr>
              <w:pStyle w:val="ListParagraph"/>
              <w:jc w:val="both"/>
              <w:rPr>
                <w:rFonts w:asciiTheme="minorHAnsi" w:hAnsiTheme="minorHAnsi" w:cstheme="minorHAnsi"/>
              </w:rPr>
            </w:pPr>
            <w:r w:rsidRPr="00077945">
              <w:rPr>
                <w:rFonts w:asciiTheme="minorHAnsi" w:hAnsiTheme="minorHAnsi" w:cstheme="minorHAnsi"/>
              </w:rPr>
              <w:t>(2) μετά την παρέλευση της αποκλειστικής προθεσμίας των τριακοσίων εξήντα (360) ημερών οποιαδήποτε Έσοδα Διάθεσης Περιουσιακών Στοιχείων τα οποία δεν έχουν διατεθεί για τους προβλεπόμενους στον ανωτέρω όρο 14.1(</w:t>
            </w:r>
            <w:r w:rsidRPr="00077945">
              <w:rPr>
                <w:rFonts w:asciiTheme="minorHAnsi" w:hAnsiTheme="minorHAnsi" w:cstheme="minorHAnsi"/>
                <w:lang w:val="en-US"/>
              </w:rPr>
              <w:t>xi</w:t>
            </w:r>
            <w:r w:rsidRPr="00077945">
              <w:rPr>
                <w:rFonts w:asciiTheme="minorHAnsi" w:hAnsiTheme="minorHAnsi" w:cstheme="minorHAnsi"/>
              </w:rPr>
              <w:t xml:space="preserve">) σκοπούς, </w:t>
            </w:r>
            <w:r w:rsidRPr="00C914A5">
              <w:rPr>
                <w:rFonts w:asciiTheme="minorHAnsi" w:hAnsiTheme="minorHAnsi" w:cstheme="minorHAnsi"/>
                <w:u w:val="single"/>
              </w:rPr>
              <w:t xml:space="preserve">θα κατατίθενται στον Ενεχυριασμένο Λογαριασμό </w:t>
            </w:r>
            <w:r w:rsidRPr="00C914A5">
              <w:rPr>
                <w:rFonts w:asciiTheme="minorHAnsi" w:hAnsiTheme="minorHAnsi" w:cstheme="minorHAnsi"/>
                <w:u w:val="single"/>
                <w:lang w:val="en-US"/>
              </w:rPr>
              <w:t>DSRA</w:t>
            </w:r>
            <w:r w:rsidRPr="00C914A5">
              <w:rPr>
                <w:rFonts w:asciiTheme="minorHAnsi" w:hAnsiTheme="minorHAnsi" w:cstheme="minorHAnsi"/>
                <w:u w:val="single"/>
              </w:rPr>
              <w:t xml:space="preserve"> μέχρι την πλήρη κάλυψη </w:t>
            </w:r>
            <w:r w:rsidRPr="00077945">
              <w:rPr>
                <w:rFonts w:asciiTheme="minorHAnsi" w:hAnsiTheme="minorHAnsi" w:cstheme="minorHAnsi"/>
                <w:u w:val="single"/>
              </w:rPr>
              <w:t xml:space="preserve">της ανεξόφλητης ονομαστικής αξίας των Ομολογιών. Στον υπολογισμό της ανεξόφλητης αξίας των Ομολογιών δεν θα λαμβάνονται υπόψη τα ποσά που έχουν ήδη κατατεθεί στο λογαριασμό </w:t>
            </w:r>
            <w:r w:rsidRPr="00C914A5">
              <w:rPr>
                <w:rFonts w:asciiTheme="minorHAnsi" w:hAnsiTheme="minorHAnsi" w:cstheme="minorHAnsi"/>
                <w:u w:val="single"/>
                <w:lang w:val="en-US"/>
              </w:rPr>
              <w:t>DSRA</w:t>
            </w:r>
            <w:r w:rsidRPr="00077945">
              <w:rPr>
                <w:rFonts w:asciiTheme="minorHAnsi" w:hAnsiTheme="minorHAnsi" w:cstheme="minorHAnsi"/>
                <w:u w:val="single"/>
              </w:rPr>
              <w:t xml:space="preserve"> από άλλες υποχρεώσεις, όπως περιγράφονται στις υπόλοιπες παραγράφους </w:t>
            </w:r>
            <w:r w:rsidRPr="00C914A5">
              <w:rPr>
                <w:rStyle w:val="Heading11"/>
                <w:b w:val="0"/>
                <w:bCs w:val="0"/>
              </w:rPr>
              <w:t>του όρου 14</w:t>
            </w:r>
            <w:r w:rsidRPr="00C914A5">
              <w:rPr>
                <w:rStyle w:val="Heading11"/>
              </w:rPr>
              <w:t xml:space="preserve"> (</w:t>
            </w:r>
            <w:r w:rsidRPr="00C914A5">
              <w:rPr>
                <w:rStyle w:val="Heading11"/>
                <w:b w:val="0"/>
                <w:bCs w:val="0"/>
                <w:lang w:val="en-US"/>
              </w:rPr>
              <w:t>xix</w:t>
            </w:r>
            <w:r w:rsidRPr="00C914A5">
              <w:rPr>
                <w:rStyle w:val="Heading11"/>
                <w:b w:val="0"/>
                <w:bCs w:val="0"/>
              </w:rPr>
              <w:t>) (5)</w:t>
            </w:r>
            <w:r w:rsidRPr="00077945">
              <w:rPr>
                <w:rStyle w:val="FootnoteReference"/>
                <w:rFonts w:ascii="Calibri" w:eastAsia="Calibri" w:hAnsi="Calibri" w:cs="Calibri"/>
                <w:u w:val="single"/>
              </w:rPr>
              <w:footnoteReference w:id="9"/>
            </w:r>
            <w:r w:rsidRPr="00C914A5">
              <w:rPr>
                <w:rStyle w:val="Heading11"/>
                <w:b w:val="0"/>
                <w:bCs w:val="0"/>
              </w:rPr>
              <w:t xml:space="preserve"> </w:t>
            </w:r>
            <w:r w:rsidRPr="00077945">
              <w:rPr>
                <w:rFonts w:asciiTheme="minorHAnsi" w:hAnsiTheme="minorHAnsi" w:cstheme="minorHAnsi"/>
                <w:u w:val="single"/>
              </w:rPr>
              <w:t xml:space="preserve"> </w:t>
            </w:r>
          </w:p>
          <w:bookmarkEnd w:id="0"/>
          <w:p w14:paraId="469AA914" w14:textId="34D22342" w:rsidR="00337FE8" w:rsidRPr="00E15F07" w:rsidRDefault="00337FE8" w:rsidP="0038649A">
            <w:pPr>
              <w:pStyle w:val="ListParagraph"/>
              <w:jc w:val="both"/>
              <w:rPr>
                <w:rStyle w:val="Heading11"/>
              </w:rPr>
            </w:pPr>
          </w:p>
        </w:tc>
        <w:tc>
          <w:tcPr>
            <w:tcW w:w="992" w:type="dxa"/>
            <w:shd w:val="clear" w:color="auto" w:fill="auto"/>
            <w:tcMar>
              <w:top w:w="100" w:type="dxa"/>
              <w:left w:w="100" w:type="dxa"/>
              <w:bottom w:w="100" w:type="dxa"/>
              <w:right w:w="100" w:type="dxa"/>
            </w:tcMar>
          </w:tcPr>
          <w:p w14:paraId="36552ED2"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7CF1FDDC"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6AA4DD60"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r>
      <w:tr w:rsidR="00337FE8" w:rsidRPr="004B23D9" w14:paraId="7CF75EE6" w14:textId="77777777" w:rsidTr="0038649A">
        <w:trPr>
          <w:trHeight w:val="1761"/>
        </w:trPr>
        <w:tc>
          <w:tcPr>
            <w:tcW w:w="7645" w:type="dxa"/>
            <w:shd w:val="clear" w:color="auto" w:fill="auto"/>
            <w:tcMar>
              <w:top w:w="100" w:type="dxa"/>
              <w:left w:w="100" w:type="dxa"/>
              <w:bottom w:w="100" w:type="dxa"/>
              <w:right w:w="100" w:type="dxa"/>
            </w:tcMar>
          </w:tcPr>
          <w:p w14:paraId="58A02056" w14:textId="77777777" w:rsidR="00337FE8" w:rsidRDefault="00337FE8" w:rsidP="00337FE8">
            <w:pPr>
              <w:pStyle w:val="ListParagraph"/>
              <w:widowControl w:val="0"/>
              <w:numPr>
                <w:ilvl w:val="0"/>
                <w:numId w:val="31"/>
              </w:numPr>
              <w:jc w:val="both"/>
              <w:rPr>
                <w:rStyle w:val="Heading11"/>
              </w:rPr>
            </w:pPr>
            <w:r w:rsidRPr="00A846F6">
              <w:rPr>
                <w:rStyle w:val="Heading11"/>
                <w:u w:val="none"/>
              </w:rPr>
              <w:t xml:space="preserve">Έγκριση των Ομολογιούχων για την προσθήκη </w:t>
            </w:r>
            <w:r w:rsidRPr="00A846F6">
              <w:rPr>
                <w:rFonts w:ascii="Calibri" w:hAnsi="Calibri" w:cs="Calibri"/>
                <w:b/>
                <w:bCs/>
              </w:rPr>
              <w:t xml:space="preserve">όρου στο σημείο 9.4.1. του όρου 9.4. του Προγράμματος του ΚΟΔ </w:t>
            </w:r>
            <w:r w:rsidRPr="00A846F6">
              <w:rPr>
                <w:rStyle w:val="Heading11"/>
                <w:u w:val="none"/>
              </w:rPr>
              <w:t>και παροχή εξουσιοδότησης προς τον Εκπρόσωπο των Ομολογιούχων για την κωδικοποίηση και υπογραφή του Προγράμματος ΚΟΔ με ενσωμάτωση των κατωτέρω</w:t>
            </w:r>
            <w:r>
              <w:rPr>
                <w:rStyle w:val="Heading11"/>
              </w:rPr>
              <w:t>:</w:t>
            </w:r>
          </w:p>
          <w:p w14:paraId="120560FB" w14:textId="77777777" w:rsidR="00337FE8" w:rsidRPr="00E15F07" w:rsidRDefault="00337FE8" w:rsidP="0038649A">
            <w:pPr>
              <w:ind w:left="709"/>
              <w:jc w:val="both"/>
              <w:rPr>
                <w:rStyle w:val="Heading11"/>
              </w:rPr>
            </w:pPr>
            <w:r>
              <w:rPr>
                <w:rFonts w:ascii="Calibri" w:hAnsi="Calibri" w:cs="Calibri"/>
              </w:rPr>
              <w:t xml:space="preserve">9.4.1 </w:t>
            </w:r>
            <w:r w:rsidRPr="003E5872">
              <w:rPr>
                <w:rFonts w:ascii="Calibri" w:hAnsi="Calibri" w:cs="Calibri"/>
              </w:rPr>
              <w:t xml:space="preserve">Εφόσον επέλθει οποιοδήποτε από τα κατωτέρω γεγονότα, έκαστος Ομολογιούχος δικαιούται να απαιτήσει την πρόωρη εξόφληση του συνόλου ή μέρους των Ομολογιών του κατά την ημερομηνία λήξης της τρέχουσας Περιόδου Εκτοκισμού, μαζί με τους δεδουλευμένους τόκους αυτών, υπολογιζόμενων σύμφωνα με τον Όρο 7.1 ανωτέρω, καθώς και τα Έξοδα και τους Φόρους που αναλογούν, έναντι τιμήματος το οποίο θα υπολογίζεται στο 101% της Ονομαστικής Αξίας των αντίστοιχων Ομολογιών, και η Εκδότρια υποχρεούται να προβεί στην εν λόγω εξόφληση: (i) επέλευση Μεταβολής Ελέγχου επί Σημαντικής Θυγατρικής </w:t>
            </w:r>
            <w:r w:rsidRPr="00B9356A">
              <w:rPr>
                <w:rFonts w:ascii="Calibri" w:hAnsi="Calibri" w:cs="Calibri"/>
                <w:u w:val="single"/>
              </w:rPr>
              <w:t>και υπό την προϋπόθεση ότι ο Δείκτης  Καθαρής Αξίας Ενεργητικού όπως υπολογίστηκε στην πιο πρόσφατη ημερομηνία Αναφοράς και επιβεβαιώθηκε με το πιστοποιητικό Συμμόρφωσης είναι μικρότερος από 1,</w:t>
            </w:r>
            <w:r>
              <w:rPr>
                <w:rFonts w:ascii="Calibri" w:hAnsi="Calibri" w:cs="Calibri"/>
                <w:u w:val="single"/>
              </w:rPr>
              <w:t>30</w:t>
            </w:r>
            <w:r w:rsidRPr="00B9356A">
              <w:rPr>
                <w:rFonts w:ascii="Calibri" w:hAnsi="Calibri" w:cs="Calibri"/>
                <w:u w:val="single"/>
              </w:rPr>
              <w:t>x</w:t>
            </w:r>
            <w:r>
              <w:rPr>
                <w:rStyle w:val="FootnoteReference"/>
                <w:rFonts w:ascii="Calibri" w:hAnsi="Calibri" w:cs="Calibri"/>
                <w:u w:val="single"/>
              </w:rPr>
              <w:footnoteReference w:id="10"/>
            </w:r>
            <w:r w:rsidRPr="003E5872">
              <w:rPr>
                <w:rFonts w:ascii="Calibri" w:hAnsi="Calibri" w:cs="Calibri"/>
                <w:color w:val="FF0000"/>
              </w:rPr>
              <w:t xml:space="preserve"> </w:t>
            </w:r>
            <w:r w:rsidRPr="003E5872">
              <w:rPr>
                <w:rFonts w:ascii="Calibri" w:hAnsi="Calibri" w:cs="Calibri"/>
              </w:rPr>
              <w:t>ή (ii)</w:t>
            </w:r>
            <w:r w:rsidRPr="003E5872">
              <w:rPr>
                <w:rFonts w:ascii="Calibri" w:hAnsi="Calibri" w:cs="Calibri"/>
                <w:color w:val="FF0000"/>
              </w:rPr>
              <w:t xml:space="preserve"> </w:t>
            </w:r>
            <w:r w:rsidRPr="003E5872">
              <w:rPr>
                <w:rFonts w:ascii="Calibri" w:hAnsi="Calibri" w:cs="Calibri"/>
              </w:rPr>
              <w:t>παράβαση οποιουδήποτε Χρηματοοικονομικού Δείκτη, όπως αυτή προκύπτει από το αντίστοιχο Πιστοποιητικό Συμμόρφωσης.</w:t>
            </w:r>
          </w:p>
        </w:tc>
        <w:tc>
          <w:tcPr>
            <w:tcW w:w="992" w:type="dxa"/>
            <w:shd w:val="clear" w:color="auto" w:fill="auto"/>
            <w:tcMar>
              <w:top w:w="100" w:type="dxa"/>
              <w:left w:w="100" w:type="dxa"/>
              <w:bottom w:w="100" w:type="dxa"/>
              <w:right w:w="100" w:type="dxa"/>
            </w:tcMar>
          </w:tcPr>
          <w:p w14:paraId="73663993"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851" w:type="dxa"/>
            <w:shd w:val="clear" w:color="auto" w:fill="auto"/>
            <w:tcMar>
              <w:top w:w="100" w:type="dxa"/>
              <w:left w:w="100" w:type="dxa"/>
              <w:bottom w:w="100" w:type="dxa"/>
              <w:right w:w="100" w:type="dxa"/>
            </w:tcMar>
          </w:tcPr>
          <w:p w14:paraId="33BBA5AD"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c>
          <w:tcPr>
            <w:tcW w:w="1017" w:type="dxa"/>
            <w:shd w:val="clear" w:color="auto" w:fill="auto"/>
            <w:tcMar>
              <w:top w:w="100" w:type="dxa"/>
              <w:left w:w="100" w:type="dxa"/>
              <w:bottom w:w="100" w:type="dxa"/>
              <w:right w:w="100" w:type="dxa"/>
            </w:tcMar>
          </w:tcPr>
          <w:p w14:paraId="40CFBFA1" w14:textId="77777777" w:rsidR="00337FE8" w:rsidRPr="004B23D9" w:rsidRDefault="00337FE8" w:rsidP="0038649A">
            <w:pPr>
              <w:widowControl w:val="0"/>
              <w:pBdr>
                <w:top w:val="nil"/>
                <w:left w:val="nil"/>
                <w:bottom w:val="nil"/>
                <w:right w:val="nil"/>
                <w:between w:val="nil"/>
              </w:pBdr>
              <w:rPr>
                <w:rFonts w:ascii="Calibri" w:eastAsia="Tahoma" w:hAnsi="Calibri" w:cs="Calibri"/>
                <w:b/>
                <w:sz w:val="22"/>
                <w:szCs w:val="22"/>
              </w:rPr>
            </w:pPr>
          </w:p>
        </w:tc>
      </w:tr>
    </w:tbl>
    <w:p w14:paraId="58A33C64" w14:textId="77777777" w:rsidR="00337FE8" w:rsidRDefault="00337FE8" w:rsidP="00613773">
      <w:pPr>
        <w:jc w:val="both"/>
        <w:rPr>
          <w:rFonts w:ascii="Calibri" w:eastAsia="Tahoma" w:hAnsi="Calibri" w:cs="Calibri"/>
          <w:sz w:val="22"/>
          <w:szCs w:val="22"/>
        </w:rPr>
      </w:pPr>
    </w:p>
    <w:p w14:paraId="00000033" w14:textId="77777777" w:rsidR="00BA762E" w:rsidRPr="004B23D9" w:rsidRDefault="00BA762E" w:rsidP="00FF71A8">
      <w:pPr>
        <w:rPr>
          <w:rFonts w:ascii="Calibri" w:eastAsia="Tahoma" w:hAnsi="Calibri" w:cs="Calibri"/>
          <w:b/>
          <w:sz w:val="22"/>
          <w:szCs w:val="22"/>
        </w:rPr>
      </w:pPr>
    </w:p>
    <w:p w14:paraId="00000065" w14:textId="2A5A8C65" w:rsidR="00BA762E" w:rsidRDefault="5F4B34F3" w:rsidP="00FF71A8">
      <w:pPr>
        <w:jc w:val="both"/>
        <w:rPr>
          <w:rFonts w:ascii="Calibri" w:eastAsia="Tahoma" w:hAnsi="Calibri" w:cs="Calibri"/>
          <w:sz w:val="22"/>
          <w:szCs w:val="22"/>
        </w:rPr>
      </w:pPr>
      <w:r w:rsidRPr="09731629">
        <w:rPr>
          <w:rFonts w:ascii="Calibri" w:eastAsia="Tahoma" w:hAnsi="Calibri" w:cs="Calibri"/>
          <w:sz w:val="22"/>
          <w:szCs w:val="22"/>
        </w:rPr>
        <w:t>Το παρόν ισχύει για την</w:t>
      </w:r>
      <w:r w:rsidR="002F7E35" w:rsidRPr="09731629">
        <w:rPr>
          <w:rFonts w:ascii="Calibri" w:eastAsia="Tahoma" w:hAnsi="Calibri" w:cs="Calibri"/>
          <w:sz w:val="22"/>
          <w:szCs w:val="22"/>
        </w:rPr>
        <w:t xml:space="preserve"> </w:t>
      </w:r>
      <w:r w:rsidRPr="09731629">
        <w:rPr>
          <w:rFonts w:ascii="Calibri" w:eastAsia="Tahoma" w:hAnsi="Calibri" w:cs="Calibri"/>
          <w:sz w:val="22"/>
          <w:szCs w:val="22"/>
        </w:rPr>
        <w:t xml:space="preserve">Συνέλευση των </w:t>
      </w:r>
      <w:r w:rsidR="00BB3AE9">
        <w:rPr>
          <w:rFonts w:ascii="Calibri" w:eastAsia="Tahoma" w:hAnsi="Calibri" w:cs="Calibri"/>
          <w:sz w:val="22"/>
          <w:szCs w:val="22"/>
        </w:rPr>
        <w:t xml:space="preserve">Ομολογιούχων </w:t>
      </w:r>
      <w:r w:rsidRPr="09731629">
        <w:rPr>
          <w:rFonts w:ascii="Calibri" w:eastAsia="Tahoma" w:hAnsi="Calibri" w:cs="Calibri"/>
          <w:sz w:val="22"/>
          <w:szCs w:val="22"/>
        </w:rPr>
        <w:t xml:space="preserve">της Εταιρείας, η οποία θα λάβει χώρα την </w:t>
      </w:r>
      <w:r w:rsidR="00BB3AE9" w:rsidRPr="00BB3AE9">
        <w:rPr>
          <w:rFonts w:ascii="Calibri" w:eastAsia="Tahoma" w:hAnsi="Calibri" w:cs="Calibri"/>
          <w:b/>
          <w:bCs/>
          <w:sz w:val="22"/>
          <w:szCs w:val="22"/>
        </w:rPr>
        <w:t>28</w:t>
      </w:r>
      <w:r w:rsidR="00AD0638" w:rsidRPr="00BB3AE9">
        <w:rPr>
          <w:rFonts w:ascii="Calibri" w:eastAsia="Tahoma" w:hAnsi="Calibri" w:cs="Calibri"/>
          <w:b/>
          <w:bCs/>
          <w:sz w:val="22"/>
          <w:szCs w:val="22"/>
          <w:vertAlign w:val="superscript"/>
        </w:rPr>
        <w:t>η</w:t>
      </w:r>
      <w:r w:rsidR="00AD0638" w:rsidRPr="09731629">
        <w:rPr>
          <w:rFonts w:ascii="Calibri" w:eastAsia="Tahoma" w:hAnsi="Calibri" w:cs="Calibri"/>
          <w:b/>
          <w:bCs/>
          <w:sz w:val="22"/>
          <w:szCs w:val="22"/>
        </w:rPr>
        <w:t xml:space="preserve"> </w:t>
      </w:r>
      <w:r w:rsidR="00AA18AB" w:rsidRPr="09731629">
        <w:rPr>
          <w:rFonts w:ascii="Calibri" w:eastAsia="Tahoma" w:hAnsi="Calibri" w:cs="Calibri"/>
          <w:b/>
          <w:bCs/>
          <w:sz w:val="22"/>
          <w:szCs w:val="22"/>
        </w:rPr>
        <w:t xml:space="preserve">Φεβρουαρίου </w:t>
      </w:r>
      <w:r w:rsidR="00AD0638" w:rsidRPr="09731629">
        <w:rPr>
          <w:rFonts w:ascii="Calibri" w:eastAsia="Tahoma" w:hAnsi="Calibri" w:cs="Calibri"/>
          <w:b/>
          <w:bCs/>
          <w:sz w:val="22"/>
          <w:szCs w:val="22"/>
        </w:rPr>
        <w:t>202</w:t>
      </w:r>
      <w:r w:rsidR="00AA18AB" w:rsidRPr="09731629">
        <w:rPr>
          <w:rFonts w:ascii="Calibri" w:eastAsia="Tahoma" w:hAnsi="Calibri" w:cs="Calibri"/>
          <w:b/>
          <w:bCs/>
          <w:sz w:val="22"/>
          <w:szCs w:val="22"/>
        </w:rPr>
        <w:t>5</w:t>
      </w:r>
      <w:r w:rsidRPr="09731629">
        <w:rPr>
          <w:rFonts w:ascii="Calibri" w:eastAsia="Tahoma" w:hAnsi="Calibri" w:cs="Calibri"/>
          <w:sz w:val="22"/>
          <w:szCs w:val="22"/>
        </w:rPr>
        <w:t xml:space="preserve">, </w:t>
      </w:r>
      <w:r w:rsidRPr="00BB3AE9">
        <w:rPr>
          <w:rFonts w:ascii="Calibri" w:eastAsia="Tahoma" w:hAnsi="Calibri" w:cs="Calibri"/>
          <w:b/>
          <w:bCs/>
          <w:sz w:val="22"/>
          <w:szCs w:val="22"/>
        </w:rPr>
        <w:t>καθώς και για οποιαδήποτε επαναληπτική, μετά διακοπή ή μετ’ αναβολή αυτής.</w:t>
      </w:r>
      <w:r w:rsidRPr="09731629">
        <w:rPr>
          <w:rFonts w:ascii="Calibri" w:eastAsia="Tahoma" w:hAnsi="Calibri" w:cs="Calibri"/>
          <w:sz w:val="22"/>
          <w:szCs w:val="22"/>
        </w:rPr>
        <w:t xml:space="preserve"> </w:t>
      </w:r>
    </w:p>
    <w:p w14:paraId="12FCA150" w14:textId="294696D6" w:rsidR="09731629" w:rsidRDefault="09731629" w:rsidP="09731629">
      <w:pPr>
        <w:jc w:val="both"/>
        <w:rPr>
          <w:rFonts w:ascii="Calibri" w:eastAsia="Tahoma" w:hAnsi="Calibri" w:cs="Calibri"/>
          <w:sz w:val="22"/>
          <w:szCs w:val="22"/>
        </w:rPr>
      </w:pPr>
    </w:p>
    <w:p w14:paraId="7433BFD8" w14:textId="77777777" w:rsidR="00922CED" w:rsidRDefault="00922CED" w:rsidP="00FF71A8">
      <w:pPr>
        <w:jc w:val="center"/>
        <w:rPr>
          <w:rFonts w:ascii="Calibri" w:eastAsia="Tahoma" w:hAnsi="Calibri" w:cs="Calibri"/>
          <w:sz w:val="22"/>
          <w:szCs w:val="22"/>
        </w:rPr>
      </w:pPr>
    </w:p>
    <w:p w14:paraId="0000006A" w14:textId="74B1E7D4" w:rsidR="00BA762E" w:rsidRPr="00E86197" w:rsidRDefault="5F4B34F3" w:rsidP="00FF71A8">
      <w:pPr>
        <w:jc w:val="center"/>
        <w:rPr>
          <w:rFonts w:ascii="Calibri" w:eastAsia="Tahoma" w:hAnsi="Calibri" w:cs="Calibri"/>
          <w:sz w:val="22"/>
          <w:szCs w:val="22"/>
        </w:rPr>
      </w:pPr>
      <w:r w:rsidRPr="7F8753A8">
        <w:rPr>
          <w:rFonts w:ascii="Calibri" w:eastAsia="Tahoma" w:hAnsi="Calibri" w:cs="Calibri"/>
          <w:sz w:val="22"/>
          <w:szCs w:val="22"/>
        </w:rPr>
        <w:t>……………..,…………/……../202</w:t>
      </w:r>
      <w:r w:rsidR="00A60B87">
        <w:rPr>
          <w:rFonts w:ascii="Calibri" w:eastAsia="Tahoma" w:hAnsi="Calibri" w:cs="Calibri"/>
          <w:sz w:val="22"/>
          <w:szCs w:val="22"/>
        </w:rPr>
        <w:t>5</w:t>
      </w:r>
    </w:p>
    <w:p w14:paraId="0000006F" w14:textId="77777777" w:rsidR="00BA762E" w:rsidRPr="004B23D9" w:rsidRDefault="00BA762E" w:rsidP="00FF71A8">
      <w:pPr>
        <w:jc w:val="center"/>
        <w:rPr>
          <w:rFonts w:ascii="Calibri" w:eastAsia="Tahoma" w:hAnsi="Calibri" w:cs="Calibri"/>
          <w:sz w:val="22"/>
          <w:szCs w:val="22"/>
        </w:rPr>
      </w:pPr>
    </w:p>
    <w:p w14:paraId="00000070" w14:textId="77777777"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Ο/Η εξουσιοδοτών/ούσα</w:t>
      </w:r>
    </w:p>
    <w:p w14:paraId="4D1AA30C" w14:textId="77777777" w:rsidR="007E4D08" w:rsidRDefault="007E4D08" w:rsidP="00FF71A8">
      <w:pPr>
        <w:jc w:val="center"/>
        <w:rPr>
          <w:rFonts w:ascii="Calibri" w:eastAsia="Tahoma" w:hAnsi="Calibri" w:cs="Calibri"/>
          <w:sz w:val="22"/>
          <w:szCs w:val="22"/>
        </w:rPr>
      </w:pPr>
    </w:p>
    <w:p w14:paraId="6EB5EEE7" w14:textId="77777777" w:rsidR="007E4D08" w:rsidRDefault="007E4D08" w:rsidP="00FF71A8">
      <w:pPr>
        <w:jc w:val="center"/>
        <w:rPr>
          <w:rFonts w:ascii="Calibri" w:eastAsia="Tahoma" w:hAnsi="Calibri" w:cs="Calibri"/>
          <w:sz w:val="22"/>
          <w:szCs w:val="22"/>
        </w:rPr>
      </w:pPr>
    </w:p>
    <w:p w14:paraId="01488953" w14:textId="77777777" w:rsidR="007E4D08" w:rsidRPr="004B23D9" w:rsidRDefault="007E4D08" w:rsidP="00FF71A8">
      <w:pPr>
        <w:jc w:val="center"/>
        <w:rPr>
          <w:rFonts w:ascii="Calibri" w:eastAsia="Tahoma" w:hAnsi="Calibri" w:cs="Calibri"/>
          <w:sz w:val="22"/>
          <w:szCs w:val="22"/>
        </w:rPr>
      </w:pPr>
    </w:p>
    <w:p w14:paraId="00000071"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w:t>
      </w:r>
    </w:p>
    <w:p w14:paraId="00000072" w14:textId="77777777" w:rsidR="00BA762E" w:rsidRPr="004B23D9" w:rsidRDefault="00EE1935" w:rsidP="00FF71A8">
      <w:pPr>
        <w:jc w:val="center"/>
        <w:rPr>
          <w:rFonts w:ascii="Calibri" w:eastAsia="Tahoma" w:hAnsi="Calibri" w:cs="Calibri"/>
          <w:sz w:val="22"/>
          <w:szCs w:val="22"/>
        </w:rPr>
      </w:pPr>
      <w:r w:rsidRPr="004B23D9">
        <w:rPr>
          <w:rFonts w:ascii="Calibri" w:eastAsia="Tahoma" w:hAnsi="Calibri" w:cs="Calibri"/>
          <w:sz w:val="22"/>
          <w:szCs w:val="22"/>
        </w:rPr>
        <w:t>(υπογραφή &amp; ονοματεπώνυμο</w:t>
      </w:r>
    </w:p>
    <w:p w14:paraId="00000073" w14:textId="3B204706" w:rsidR="00BA762E" w:rsidRDefault="00EE1935" w:rsidP="00FF71A8">
      <w:pPr>
        <w:jc w:val="center"/>
        <w:rPr>
          <w:rFonts w:ascii="Calibri" w:eastAsia="Tahoma" w:hAnsi="Calibri" w:cs="Calibri"/>
          <w:sz w:val="22"/>
          <w:szCs w:val="22"/>
        </w:rPr>
      </w:pPr>
      <w:r w:rsidRPr="004B23D9">
        <w:rPr>
          <w:rFonts w:ascii="Calibri" w:eastAsia="Tahoma" w:hAnsi="Calibri" w:cs="Calibri"/>
          <w:sz w:val="22"/>
          <w:szCs w:val="22"/>
        </w:rPr>
        <w:t>&amp; σφραγίδα για νομικό πρόσωπο)</w:t>
      </w:r>
    </w:p>
    <w:p w14:paraId="6A649EA2" w14:textId="77777777" w:rsidR="007A33FA" w:rsidRDefault="007A33FA" w:rsidP="00FF71A8">
      <w:pPr>
        <w:jc w:val="center"/>
        <w:rPr>
          <w:rFonts w:ascii="Calibri" w:eastAsia="Tahoma" w:hAnsi="Calibri" w:cs="Calibri"/>
          <w:sz w:val="22"/>
          <w:szCs w:val="22"/>
        </w:rPr>
      </w:pPr>
    </w:p>
    <w:p w14:paraId="2518747C" w14:textId="398FC193" w:rsidR="007A33FA" w:rsidRDefault="007A33FA" w:rsidP="007A33FA">
      <w:pPr>
        <w:jc w:val="both"/>
        <w:rPr>
          <w:rFonts w:ascii="Calibri" w:eastAsia="Tahoma" w:hAnsi="Calibri" w:cs="Calibri"/>
          <w:sz w:val="22"/>
          <w:szCs w:val="22"/>
        </w:rPr>
      </w:pPr>
      <w:r w:rsidRPr="00E82820">
        <w:rPr>
          <w:rFonts w:ascii="Calibri" w:eastAsia="Tahoma" w:hAnsi="Calibri" w:cs="Calibri"/>
          <w:sz w:val="22"/>
          <w:szCs w:val="22"/>
          <w:vertAlign w:val="superscript"/>
        </w:rPr>
        <w:t>1</w:t>
      </w:r>
      <w:r w:rsidRPr="0382F554">
        <w:rPr>
          <w:rFonts w:ascii="Calibri" w:eastAsia="Tahoma" w:hAnsi="Calibri" w:cs="Calibri"/>
          <w:sz w:val="22"/>
          <w:szCs w:val="22"/>
        </w:rPr>
        <w:t xml:space="preserve">Στην περίπτωση που η επιστολική ψήφος διαβιβάζεται από αντιπρόσωπο </w:t>
      </w:r>
      <w:r>
        <w:rPr>
          <w:rFonts w:ascii="Calibri" w:eastAsia="Tahoma" w:hAnsi="Calibri" w:cs="Calibri"/>
          <w:sz w:val="22"/>
          <w:szCs w:val="22"/>
        </w:rPr>
        <w:t>ομολογιούχου</w:t>
      </w:r>
      <w:r w:rsidRPr="0382F554">
        <w:rPr>
          <w:rFonts w:ascii="Calibri" w:eastAsia="Tahoma" w:hAnsi="Calibri" w:cs="Calibri"/>
          <w:sz w:val="22"/>
          <w:szCs w:val="22"/>
        </w:rPr>
        <w:t xml:space="preserve">, ο διορισμός του αντιπροσώπου απαιτείται να γίνει τουλάχιστον </w:t>
      </w:r>
      <w:r>
        <w:rPr>
          <w:rFonts w:ascii="Calibri" w:eastAsia="Tahoma" w:hAnsi="Calibri" w:cs="Calibri"/>
          <w:sz w:val="22"/>
          <w:szCs w:val="22"/>
        </w:rPr>
        <w:t xml:space="preserve">δύο </w:t>
      </w:r>
      <w:r w:rsidR="000E1CDD" w:rsidRPr="000E1CDD">
        <w:rPr>
          <w:rFonts w:ascii="Calibri" w:eastAsia="Tahoma" w:hAnsi="Calibri" w:cs="Calibri"/>
          <w:sz w:val="22"/>
          <w:szCs w:val="22"/>
        </w:rPr>
        <w:t xml:space="preserve">(2) </w:t>
      </w:r>
      <w:r>
        <w:rPr>
          <w:rFonts w:ascii="Calibri" w:eastAsia="Tahoma" w:hAnsi="Calibri" w:cs="Calibri"/>
          <w:sz w:val="22"/>
          <w:szCs w:val="22"/>
        </w:rPr>
        <w:t xml:space="preserve">Εργάσιμες Ημέρες </w:t>
      </w:r>
      <w:r w:rsidRPr="0382F554">
        <w:rPr>
          <w:rFonts w:ascii="Calibri" w:eastAsia="Tahoma" w:hAnsi="Calibri" w:cs="Calibri"/>
          <w:sz w:val="22"/>
          <w:szCs w:val="22"/>
        </w:rPr>
        <w:t xml:space="preserve">πριν από την ημερομηνία συνεδρίασης της Συνέλευσης (ήτοι μέχρι τις </w:t>
      </w:r>
      <w:r>
        <w:rPr>
          <w:rFonts w:ascii="Calibri" w:eastAsia="Tahoma" w:hAnsi="Calibri" w:cs="Calibri"/>
          <w:sz w:val="22"/>
          <w:szCs w:val="22"/>
        </w:rPr>
        <w:t>26.02.2025</w:t>
      </w:r>
      <w:r w:rsidRPr="0382F554">
        <w:rPr>
          <w:rFonts w:ascii="Calibri" w:eastAsia="Tahoma" w:hAnsi="Calibri" w:cs="Calibri"/>
          <w:sz w:val="22"/>
          <w:szCs w:val="22"/>
        </w:rPr>
        <w:t xml:space="preserve"> ώρα </w:t>
      </w:r>
      <w:r>
        <w:rPr>
          <w:rFonts w:ascii="Calibri" w:eastAsia="Tahoma" w:hAnsi="Calibri" w:cs="Calibri"/>
          <w:sz w:val="22"/>
          <w:szCs w:val="22"/>
        </w:rPr>
        <w:t>9</w:t>
      </w:r>
      <w:r w:rsidRPr="0382F554">
        <w:rPr>
          <w:rFonts w:ascii="Calibri" w:eastAsia="Tahoma" w:hAnsi="Calibri" w:cs="Calibri"/>
          <w:sz w:val="22"/>
          <w:szCs w:val="22"/>
        </w:rPr>
        <w:t>:00</w:t>
      </w:r>
      <w:r w:rsidR="000E1CDD" w:rsidRPr="000E1CDD">
        <w:rPr>
          <w:rFonts w:ascii="Calibri" w:eastAsia="Tahoma" w:hAnsi="Calibri" w:cs="Calibri"/>
          <w:sz w:val="22"/>
          <w:szCs w:val="22"/>
        </w:rPr>
        <w:t xml:space="preserve"> </w:t>
      </w:r>
      <w:r w:rsidR="000E1CDD">
        <w:rPr>
          <w:rFonts w:ascii="Calibri" w:eastAsia="Tahoma" w:hAnsi="Calibri" w:cs="Calibri"/>
          <w:sz w:val="22"/>
          <w:szCs w:val="22"/>
        </w:rPr>
        <w:t>π.μ.</w:t>
      </w:r>
      <w:r w:rsidRPr="0382F554">
        <w:rPr>
          <w:rFonts w:ascii="Calibri" w:eastAsia="Tahoma" w:hAnsi="Calibri" w:cs="Calibri"/>
          <w:sz w:val="22"/>
          <w:szCs w:val="22"/>
        </w:rPr>
        <w:t xml:space="preserve">). Μετά την ημερομηνία αυτή δε θα είναι δυνατή η συμμετοχή μέσω αντιπροσώπου στην ψηφοφορία </w:t>
      </w:r>
      <w:r>
        <w:rPr>
          <w:rFonts w:ascii="Calibri" w:eastAsia="Tahoma" w:hAnsi="Calibri" w:cs="Calibri"/>
          <w:sz w:val="22"/>
          <w:szCs w:val="22"/>
        </w:rPr>
        <w:t>με επιστολική ψήφο.</w:t>
      </w:r>
    </w:p>
    <w:p w14:paraId="00000074" w14:textId="77777777" w:rsidR="00BA762E" w:rsidRDefault="00BA762E" w:rsidP="00FF71A8">
      <w:pPr>
        <w:rPr>
          <w:rFonts w:ascii="Calibri" w:eastAsia="Tahoma" w:hAnsi="Calibri" w:cs="Calibri"/>
          <w:sz w:val="22"/>
          <w:szCs w:val="22"/>
        </w:rPr>
      </w:pPr>
    </w:p>
    <w:p w14:paraId="3A029284" w14:textId="72BCCA87" w:rsidR="00300D99" w:rsidRDefault="00C869E2" w:rsidP="00C869E2">
      <w:pPr>
        <w:jc w:val="both"/>
      </w:pPr>
      <w:r w:rsidRPr="00FB5524">
        <w:rPr>
          <w:rFonts w:ascii="Calibri" w:eastAsia="Tahoma" w:hAnsi="Calibri" w:cs="Calibri"/>
          <w:b/>
          <w:bCs/>
          <w:sz w:val="22"/>
          <w:szCs w:val="22"/>
        </w:rPr>
        <w:t>Βεβαιώνεται το γνήσιο της υπογραφής (</w:t>
      </w:r>
      <w:r>
        <w:rPr>
          <w:rFonts w:ascii="Calibri" w:eastAsia="Tahoma" w:hAnsi="Calibri" w:cs="Calibri"/>
          <w:b/>
          <w:bCs/>
          <w:sz w:val="22"/>
          <w:szCs w:val="22"/>
        </w:rPr>
        <w:t>Εγκεκριμένη ψηφιακή υπογραφή</w:t>
      </w:r>
      <w:r w:rsidR="00BC6D82">
        <w:rPr>
          <w:rFonts w:ascii="Calibri" w:eastAsia="Tahoma" w:hAnsi="Calibri" w:cs="Calibri"/>
          <w:b/>
          <w:bCs/>
          <w:sz w:val="22"/>
          <w:szCs w:val="22"/>
        </w:rPr>
        <w:t>,</w:t>
      </w:r>
      <w:r>
        <w:rPr>
          <w:rFonts w:ascii="Calibri" w:eastAsia="Tahoma" w:hAnsi="Calibri" w:cs="Calibri"/>
          <w:b/>
          <w:bCs/>
          <w:sz w:val="22"/>
          <w:szCs w:val="22"/>
        </w:rPr>
        <w:t xml:space="preserve"> θεώρηση</w:t>
      </w:r>
      <w:r w:rsidRPr="009E6560">
        <w:rPr>
          <w:rFonts w:ascii="Calibri" w:eastAsia="Tahoma" w:hAnsi="Calibri" w:cs="Calibri"/>
          <w:b/>
          <w:bCs/>
          <w:sz w:val="22"/>
          <w:szCs w:val="22"/>
        </w:rPr>
        <w:t xml:space="preserve"> </w:t>
      </w:r>
      <w:r w:rsidRPr="00FB5524">
        <w:rPr>
          <w:rFonts w:ascii="Calibri" w:eastAsia="Tahoma" w:hAnsi="Calibri" w:cs="Calibri"/>
          <w:b/>
          <w:bCs/>
          <w:sz w:val="22"/>
          <w:szCs w:val="22"/>
        </w:rPr>
        <w:t>από ΚΕΠ, Αστυνομία ή άλλη Δημόσια Αρχή)</w:t>
      </w:r>
    </w:p>
    <w:tbl>
      <w:tblPr>
        <w:tblStyle w:val="TableGrid"/>
        <w:tblW w:w="10485" w:type="dxa"/>
        <w:tblLayout w:type="fixed"/>
        <w:tblLook w:val="06A0" w:firstRow="1" w:lastRow="0" w:firstColumn="1" w:lastColumn="0" w:noHBand="1" w:noVBand="1"/>
      </w:tblPr>
      <w:tblGrid>
        <w:gridCol w:w="10485"/>
      </w:tblGrid>
      <w:tr w:rsidR="58E4E7AC" w14:paraId="4654BED1" w14:textId="77777777" w:rsidTr="00223B8B">
        <w:tc>
          <w:tcPr>
            <w:tcW w:w="10485" w:type="dxa"/>
          </w:tcPr>
          <w:p w14:paraId="11D2DF1A" w14:textId="1734A08A" w:rsidR="58E4E7AC" w:rsidRDefault="00FE3E7A" w:rsidP="00223B8B">
            <w:pPr>
              <w:jc w:val="both"/>
              <w:rPr>
                <w:rFonts w:ascii="Calibri" w:eastAsia="Tahoma" w:hAnsi="Calibri" w:cs="Calibri"/>
                <w:b/>
                <w:bCs/>
                <w:sz w:val="22"/>
                <w:szCs w:val="22"/>
              </w:rPr>
            </w:pPr>
            <w:r w:rsidRPr="177D5C43">
              <w:rPr>
                <w:rFonts w:ascii="Calibri" w:eastAsia="Tahoma" w:hAnsi="Calibri" w:cs="Calibri"/>
                <w:sz w:val="22"/>
                <w:szCs w:val="22"/>
              </w:rPr>
              <w:t xml:space="preserve">Το παρόν έντυπο συμπληρωμένο, υπογεγραμμένο και θεωρημένο για το γνήσιο της υπογραφής κατατίθεται ή αποστέλλεται </w:t>
            </w:r>
            <w:r>
              <w:rPr>
                <w:rFonts w:ascii="Calibri" w:eastAsia="Tahoma" w:hAnsi="Calibri" w:cs="Calibri"/>
                <w:sz w:val="22"/>
                <w:szCs w:val="22"/>
              </w:rPr>
              <w:t xml:space="preserve">στην Τράπεζα Πειραιώς Ανώνυμος Εταιρεία, με έδρα Αμερικής 4 και αριθμό Γ.Ε.ΜΗ. 157660660000 υπό την ιδιότητά της ως Εκπροσώπου των Ομολογιούχων, στο αρμόδιο τμήμα Εξυπηρέτησης στη διεύθυνση: </w:t>
            </w:r>
            <w:r w:rsidRPr="006F0A92">
              <w:rPr>
                <w:rFonts w:ascii="Calibri" w:eastAsia="Tahoma" w:hAnsi="Calibri" w:cs="Calibri"/>
                <w:b/>
                <w:bCs/>
                <w:sz w:val="22"/>
                <w:szCs w:val="22"/>
              </w:rPr>
              <w:t>Παπαδά 4, 11525 Αθήνα υπόψη κ. Ξύδη Ευθυμίου</w:t>
            </w:r>
            <w:r>
              <w:rPr>
                <w:rFonts w:ascii="Calibri" w:eastAsia="Tahoma" w:hAnsi="Calibri" w:cs="Calibri"/>
                <w:sz w:val="22"/>
                <w:szCs w:val="22"/>
              </w:rPr>
              <w:t xml:space="preserve"> είτε αποστέλλοντας τα ψηφιακά υπογεγραμμένα μέσω ηλεκτρονικού ταχυδρομείου στην ηλεκτρονική διεύθυνση </w:t>
            </w:r>
            <w:hyperlink r:id="rId10" w:history="1">
              <w:r w:rsidRPr="00DF73B0">
                <w:rPr>
                  <w:rStyle w:val="Hyperlink"/>
                  <w:rFonts w:ascii="Calibri" w:hAnsi="Calibri" w:cs="Calibri"/>
                  <w:sz w:val="22"/>
                  <w:szCs w:val="22"/>
                </w:rPr>
                <w:t>corporatebondsservices@piraeusbank.gr</w:t>
              </w:r>
            </w:hyperlink>
            <w:r w:rsidR="7A49DFA0" w:rsidRPr="00FE3E7A">
              <w:rPr>
                <w:rFonts w:ascii="Calibri" w:eastAsia="Calibri" w:hAnsi="Calibri" w:cs="Calibri"/>
                <w:color w:val="000000" w:themeColor="text1"/>
                <w:sz w:val="22"/>
                <w:szCs w:val="22"/>
              </w:rPr>
              <w:t xml:space="preserve"> </w:t>
            </w:r>
            <w:r w:rsidR="7A49DFA0" w:rsidRPr="00FE3E7A">
              <w:rPr>
                <w:rFonts w:ascii="Calibri" w:eastAsia="Calibri" w:hAnsi="Calibri" w:cs="Calibri"/>
                <w:b/>
                <w:bCs/>
                <w:color w:val="000000" w:themeColor="text1"/>
                <w:sz w:val="22"/>
                <w:szCs w:val="22"/>
              </w:rPr>
              <w:t xml:space="preserve">τουλάχιστον </w:t>
            </w:r>
            <w:r w:rsidR="2D2675AE" w:rsidRPr="00FE3E7A">
              <w:rPr>
                <w:rFonts w:ascii="Calibri" w:eastAsia="Calibri" w:hAnsi="Calibri" w:cs="Calibri"/>
                <w:b/>
                <w:bCs/>
                <w:color w:val="000000" w:themeColor="text1"/>
                <w:sz w:val="22"/>
                <w:szCs w:val="22"/>
              </w:rPr>
              <w:t xml:space="preserve">είκοσι τέσσερις </w:t>
            </w:r>
            <w:r w:rsidR="7A49DFA0" w:rsidRPr="00FE3E7A">
              <w:rPr>
                <w:rFonts w:ascii="Calibri" w:eastAsia="Calibri" w:hAnsi="Calibri" w:cs="Calibri"/>
                <w:b/>
                <w:bCs/>
                <w:color w:val="000000" w:themeColor="text1"/>
                <w:sz w:val="22"/>
                <w:szCs w:val="22"/>
              </w:rPr>
              <w:t>(</w:t>
            </w:r>
            <w:r w:rsidR="4E84E5DF" w:rsidRPr="00FE3E7A">
              <w:rPr>
                <w:rFonts w:ascii="Calibri" w:eastAsia="Calibri" w:hAnsi="Calibri" w:cs="Calibri"/>
                <w:b/>
                <w:bCs/>
                <w:color w:val="000000" w:themeColor="text1"/>
                <w:sz w:val="22"/>
                <w:szCs w:val="22"/>
              </w:rPr>
              <w:t>24</w:t>
            </w:r>
            <w:r w:rsidR="7A49DFA0" w:rsidRPr="00FE3E7A">
              <w:rPr>
                <w:rFonts w:ascii="Calibri" w:eastAsia="Calibri" w:hAnsi="Calibri" w:cs="Calibri"/>
                <w:b/>
                <w:bCs/>
                <w:color w:val="000000" w:themeColor="text1"/>
                <w:sz w:val="22"/>
                <w:szCs w:val="22"/>
              </w:rPr>
              <w:t xml:space="preserve">) ώρες πριν από την ημερομηνία και ώρα της Συνέλευσης, ήτοι το αργότερο μέχρι τις </w:t>
            </w:r>
            <w:r>
              <w:rPr>
                <w:rFonts w:ascii="Calibri" w:eastAsia="Calibri" w:hAnsi="Calibri" w:cs="Calibri"/>
                <w:b/>
                <w:bCs/>
                <w:color w:val="000000" w:themeColor="text1"/>
                <w:sz w:val="22"/>
                <w:szCs w:val="22"/>
              </w:rPr>
              <w:t>27</w:t>
            </w:r>
            <w:r w:rsidR="008A6AFB" w:rsidRPr="00FE3E7A">
              <w:rPr>
                <w:rFonts w:ascii="Calibri" w:eastAsia="Calibri" w:hAnsi="Calibri" w:cs="Calibri"/>
                <w:b/>
                <w:bCs/>
                <w:color w:val="000000" w:themeColor="text1"/>
                <w:sz w:val="22"/>
                <w:szCs w:val="22"/>
              </w:rPr>
              <w:t>.0</w:t>
            </w:r>
            <w:r w:rsidR="00E050B7" w:rsidRPr="00FE3E7A">
              <w:rPr>
                <w:rFonts w:ascii="Calibri" w:eastAsia="Calibri" w:hAnsi="Calibri" w:cs="Calibri"/>
                <w:b/>
                <w:bCs/>
                <w:color w:val="000000" w:themeColor="text1"/>
                <w:sz w:val="22"/>
                <w:szCs w:val="22"/>
              </w:rPr>
              <w:t>2</w:t>
            </w:r>
            <w:r w:rsidR="008A6AFB" w:rsidRPr="00FE3E7A">
              <w:rPr>
                <w:rFonts w:ascii="Calibri" w:eastAsia="Calibri" w:hAnsi="Calibri" w:cs="Calibri"/>
                <w:b/>
                <w:bCs/>
                <w:color w:val="000000" w:themeColor="text1"/>
                <w:sz w:val="22"/>
                <w:szCs w:val="22"/>
              </w:rPr>
              <w:t>.202</w:t>
            </w:r>
            <w:r w:rsidR="00E050B7" w:rsidRPr="00FE3E7A">
              <w:rPr>
                <w:rFonts w:ascii="Calibri" w:eastAsia="Calibri" w:hAnsi="Calibri" w:cs="Calibri"/>
                <w:b/>
                <w:bCs/>
                <w:color w:val="000000" w:themeColor="text1"/>
                <w:sz w:val="22"/>
                <w:szCs w:val="22"/>
              </w:rPr>
              <w:t>5</w:t>
            </w:r>
            <w:r w:rsidR="7A49DFA0" w:rsidRPr="00FE3E7A">
              <w:rPr>
                <w:rFonts w:ascii="Calibri" w:eastAsia="Calibri" w:hAnsi="Calibri" w:cs="Calibri"/>
                <w:b/>
                <w:bCs/>
                <w:color w:val="000000" w:themeColor="text1"/>
                <w:sz w:val="22"/>
                <w:szCs w:val="22"/>
              </w:rPr>
              <w:t xml:space="preserve"> και ώρα </w:t>
            </w:r>
            <w:r>
              <w:rPr>
                <w:rFonts w:ascii="Calibri" w:eastAsia="Calibri" w:hAnsi="Calibri" w:cs="Calibri"/>
                <w:b/>
                <w:bCs/>
                <w:color w:val="000000" w:themeColor="text1"/>
                <w:sz w:val="22"/>
                <w:szCs w:val="22"/>
              </w:rPr>
              <w:t>9</w:t>
            </w:r>
            <w:r w:rsidR="7A49DFA0" w:rsidRPr="00FE3E7A">
              <w:rPr>
                <w:rFonts w:ascii="Calibri" w:eastAsia="Calibri" w:hAnsi="Calibri" w:cs="Calibri"/>
                <w:b/>
                <w:bCs/>
                <w:color w:val="000000" w:themeColor="text1"/>
                <w:sz w:val="22"/>
                <w:szCs w:val="22"/>
              </w:rPr>
              <w:t>:00</w:t>
            </w:r>
            <w:r w:rsidR="00C135B6" w:rsidRPr="00C135B6">
              <w:rPr>
                <w:rFonts w:ascii="Calibri" w:eastAsia="Calibri" w:hAnsi="Calibri" w:cs="Calibri"/>
                <w:b/>
                <w:bCs/>
                <w:color w:val="000000" w:themeColor="text1"/>
                <w:sz w:val="22"/>
                <w:szCs w:val="22"/>
              </w:rPr>
              <w:t xml:space="preserve"> </w:t>
            </w:r>
            <w:r w:rsidR="00C135B6">
              <w:rPr>
                <w:rFonts w:ascii="Calibri" w:eastAsia="Calibri" w:hAnsi="Calibri" w:cs="Calibri"/>
                <w:b/>
                <w:bCs/>
                <w:color w:val="000000" w:themeColor="text1"/>
                <w:sz w:val="22"/>
                <w:szCs w:val="22"/>
              </w:rPr>
              <w:t>π.μ</w:t>
            </w:r>
            <w:r w:rsidR="7A49DFA0" w:rsidRPr="00FE3E7A">
              <w:rPr>
                <w:rFonts w:ascii="Calibri" w:eastAsia="Calibri" w:hAnsi="Calibri" w:cs="Calibri"/>
                <w:b/>
                <w:bCs/>
                <w:color w:val="000000" w:themeColor="text1"/>
                <w:sz w:val="22"/>
                <w:szCs w:val="22"/>
              </w:rPr>
              <w:t>.</w:t>
            </w:r>
          </w:p>
        </w:tc>
      </w:tr>
    </w:tbl>
    <w:p w14:paraId="32BB00E9" w14:textId="2DAC0E9F" w:rsidR="003A355F" w:rsidRDefault="003A355F" w:rsidP="005325A4">
      <w:pPr>
        <w:jc w:val="both"/>
        <w:rPr>
          <w:rFonts w:ascii="Calibri" w:eastAsia="Tahoma" w:hAnsi="Calibri" w:cs="Calibri"/>
          <w:b/>
          <w:sz w:val="22"/>
          <w:szCs w:val="22"/>
        </w:rPr>
      </w:pPr>
    </w:p>
    <w:sectPr w:rsidR="003A355F" w:rsidSect="00FE3E7A">
      <w:headerReference w:type="default" r:id="rId11"/>
      <w:footerReference w:type="even" r:id="rId12"/>
      <w:footerReference w:type="default" r:id="rId13"/>
      <w:footerReference w:type="first" r:id="rId14"/>
      <w:pgSz w:w="11906" w:h="16838"/>
      <w:pgMar w:top="1843" w:right="1133" w:bottom="568" w:left="720" w:header="706" w:footer="36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5C43" w14:textId="77777777" w:rsidR="0007248D" w:rsidRDefault="0007248D">
      <w:r>
        <w:separator/>
      </w:r>
    </w:p>
  </w:endnote>
  <w:endnote w:type="continuationSeparator" w:id="0">
    <w:p w14:paraId="64C13584" w14:textId="77777777" w:rsidR="0007248D" w:rsidRDefault="0007248D">
      <w:r>
        <w:continuationSeparator/>
      </w:r>
    </w:p>
  </w:endnote>
  <w:endnote w:type="continuationNotice" w:id="1">
    <w:p w14:paraId="1C6B4D22" w14:textId="77777777" w:rsidR="0007248D" w:rsidRDefault="00072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164A8" w14:textId="41DBEC4B" w:rsidR="00F3161F" w:rsidRDefault="00F3161F" w:rsidP="0026664C">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5126B">
      <w:rPr>
        <w:caps/>
        <w:noProof/>
        <w:color w:val="4F81BD" w:themeColor="accent1"/>
      </w:rPr>
      <w:t>1</w:t>
    </w:r>
    <w:r>
      <w:rPr>
        <w:caps/>
        <w:noProof/>
        <w:color w:val="4F81BD" w:themeColor="accent1"/>
      </w:rPr>
      <w:fldChar w:fldCharType="end"/>
    </w:r>
  </w:p>
  <w:p w14:paraId="2DDB5DCE" w14:textId="77777777" w:rsidR="00F3161F" w:rsidRDefault="00F3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BA762E" w:rsidRPr="00840578" w:rsidRDefault="00EE1935">
    <w:pPr>
      <w:pBdr>
        <w:top w:val="nil"/>
        <w:left w:val="nil"/>
        <w:bottom w:val="nil"/>
        <w:right w:val="nil"/>
        <w:between w:val="nil"/>
      </w:pBdr>
      <w:tabs>
        <w:tab w:val="center" w:pos="4153"/>
        <w:tab w:val="right" w:pos="8306"/>
      </w:tabs>
      <w:rPr>
        <w:rFonts w:ascii="Tahoma" w:eastAsia="Tahoma" w:hAnsi="Tahoma" w:cs="Tahoma"/>
        <w:color w:val="404040"/>
        <w:sz w:val="16"/>
        <w:szCs w:val="16"/>
        <w:lang w:val="en-US"/>
      </w:rPr>
    </w:pPr>
    <w:r w:rsidRPr="00840578">
      <w:rPr>
        <w:rFonts w:ascii="Tahoma" w:eastAsia="Tahoma" w:hAnsi="Tahoma" w:cs="Tahoma"/>
        <w:color w:val="404040"/>
        <w:sz w:val="16"/>
        <w:szCs w:val="16"/>
        <w:lang w:val="en-US"/>
      </w:rPr>
      <w:t>KGDI Law Firm Ref. Num.: 2479096v1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03D3" w14:textId="77777777" w:rsidR="0007248D" w:rsidRDefault="0007248D">
      <w:r>
        <w:separator/>
      </w:r>
    </w:p>
  </w:footnote>
  <w:footnote w:type="continuationSeparator" w:id="0">
    <w:p w14:paraId="5A6DCFFF" w14:textId="77777777" w:rsidR="0007248D" w:rsidRDefault="0007248D">
      <w:r>
        <w:continuationSeparator/>
      </w:r>
    </w:p>
  </w:footnote>
  <w:footnote w:type="continuationNotice" w:id="1">
    <w:p w14:paraId="187A5E6E" w14:textId="77777777" w:rsidR="0007248D" w:rsidRDefault="0007248D"/>
  </w:footnote>
  <w:footnote w:id="2">
    <w:p w14:paraId="39008E79" w14:textId="77777777" w:rsidR="00337FE8" w:rsidRPr="00AF7055"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3">
    <w:p w14:paraId="6566879B" w14:textId="77777777" w:rsidR="00337FE8" w:rsidRPr="00AF7055"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4">
    <w:p w14:paraId="296D225F" w14:textId="77777777" w:rsidR="00337FE8" w:rsidRPr="00AF7055"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5">
    <w:p w14:paraId="5ACC60EA" w14:textId="77777777" w:rsidR="00337FE8" w:rsidRPr="00AF7055"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6">
    <w:p w14:paraId="6DAED901" w14:textId="77777777" w:rsidR="00337FE8" w:rsidRPr="002D0B3F"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7">
    <w:p w14:paraId="67C8000F" w14:textId="77777777" w:rsidR="00337FE8" w:rsidRPr="004521E0"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8">
    <w:p w14:paraId="7EB733A9" w14:textId="77777777" w:rsidR="00337FE8" w:rsidRPr="003C33CB" w:rsidRDefault="00337FE8" w:rsidP="00337FE8">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9">
    <w:p w14:paraId="56B7033D" w14:textId="77777777" w:rsidR="00373C67" w:rsidRPr="00602180" w:rsidRDefault="00373C67" w:rsidP="00373C67">
      <w:pPr>
        <w:pStyle w:val="FootnoteText"/>
        <w:rPr>
          <w:rFonts w:asciiTheme="minorHAnsi" w:hAnsiTheme="minorHAnsi"/>
        </w:rPr>
      </w:pPr>
      <w:r>
        <w:rPr>
          <w:rStyle w:val="FootnoteReference"/>
        </w:rPr>
        <w:footnoteRef/>
      </w:r>
      <w:r>
        <w:t xml:space="preserve"> </w:t>
      </w:r>
      <w:r>
        <w:rPr>
          <w:rFonts w:asciiTheme="minorHAnsi" w:hAnsiTheme="minorHAnsi"/>
        </w:rPr>
        <w:t>Η προσθήκη έχει επισημανθεί με υπογράμμιση.</w:t>
      </w:r>
    </w:p>
  </w:footnote>
  <w:footnote w:id="10">
    <w:p w14:paraId="724AA3A3" w14:textId="77777777" w:rsidR="00337FE8" w:rsidRPr="00B9356A" w:rsidRDefault="00337FE8" w:rsidP="00337FE8">
      <w:pPr>
        <w:pStyle w:val="FootnoteText"/>
        <w:rPr>
          <w:rFonts w:asciiTheme="minorHAnsi" w:hAnsiTheme="minorHAnsi"/>
        </w:rPr>
      </w:pPr>
      <w:r>
        <w:rPr>
          <w:rStyle w:val="FootnoteReference"/>
        </w:rPr>
        <w:footnoteRef/>
      </w:r>
      <w:r>
        <w:rPr>
          <w:rFonts w:asciiTheme="minorHAnsi" w:hAnsiTheme="minorHAnsi"/>
        </w:rPr>
        <w:t>Η προσθήκη έχει επισημανθεί με υπογράμμιση.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78BBB" w14:textId="51A42D30" w:rsidR="00C41091" w:rsidRDefault="003648FD" w:rsidP="0055126B">
    <w:pPr>
      <w:pStyle w:val="Header"/>
      <w:jc w:val="center"/>
    </w:pPr>
    <w:r>
      <w:rPr>
        <w:noProof/>
      </w:rPr>
      <w:drawing>
        <wp:inline distT="0" distB="0" distL="0" distR="0" wp14:anchorId="22667669" wp14:editId="4FD96A2B">
          <wp:extent cx="1930400" cy="575945"/>
          <wp:effectExtent l="0" t="0" r="0" b="0"/>
          <wp:docPr id="455025924" name="Picture 45502592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4AA"/>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67BA"/>
    <w:multiLevelType w:val="multilevel"/>
    <w:tmpl w:val="2828D0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13DC6"/>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D298A"/>
    <w:multiLevelType w:val="hybridMultilevel"/>
    <w:tmpl w:val="81A40ECC"/>
    <w:lvl w:ilvl="0" w:tplc="F4FE4180">
      <w:start w:val="1"/>
      <w:numFmt w:val="decimal"/>
      <w:lvlText w:val="%1."/>
      <w:lvlJc w:val="left"/>
      <w:pPr>
        <w:ind w:left="720" w:hanging="360"/>
      </w:pPr>
    </w:lvl>
    <w:lvl w:ilvl="1" w:tplc="59DEF280">
      <w:start w:val="1"/>
      <w:numFmt w:val="lowerLetter"/>
      <w:lvlText w:val="%2."/>
      <w:lvlJc w:val="left"/>
      <w:pPr>
        <w:ind w:left="1440" w:hanging="360"/>
      </w:pPr>
    </w:lvl>
    <w:lvl w:ilvl="2" w:tplc="C46E4E66">
      <w:start w:val="1"/>
      <w:numFmt w:val="lowerRoman"/>
      <w:lvlText w:val="%3."/>
      <w:lvlJc w:val="right"/>
      <w:pPr>
        <w:ind w:left="2160" w:hanging="180"/>
      </w:pPr>
    </w:lvl>
    <w:lvl w:ilvl="3" w:tplc="FFB4317C">
      <w:start w:val="1"/>
      <w:numFmt w:val="decimal"/>
      <w:lvlText w:val="%4."/>
      <w:lvlJc w:val="left"/>
      <w:pPr>
        <w:ind w:left="2880" w:hanging="360"/>
      </w:pPr>
    </w:lvl>
    <w:lvl w:ilvl="4" w:tplc="C4AC8F48">
      <w:start w:val="1"/>
      <w:numFmt w:val="lowerLetter"/>
      <w:lvlText w:val="%5."/>
      <w:lvlJc w:val="left"/>
      <w:pPr>
        <w:ind w:left="3600" w:hanging="360"/>
      </w:pPr>
    </w:lvl>
    <w:lvl w:ilvl="5" w:tplc="6908F1AC">
      <w:start w:val="1"/>
      <w:numFmt w:val="lowerRoman"/>
      <w:lvlText w:val="%6."/>
      <w:lvlJc w:val="right"/>
      <w:pPr>
        <w:ind w:left="4320" w:hanging="180"/>
      </w:pPr>
    </w:lvl>
    <w:lvl w:ilvl="6" w:tplc="E8D0358C">
      <w:start w:val="1"/>
      <w:numFmt w:val="decimal"/>
      <w:lvlText w:val="%7."/>
      <w:lvlJc w:val="left"/>
      <w:pPr>
        <w:ind w:left="5040" w:hanging="360"/>
      </w:pPr>
    </w:lvl>
    <w:lvl w:ilvl="7" w:tplc="89B4250C">
      <w:start w:val="1"/>
      <w:numFmt w:val="lowerLetter"/>
      <w:lvlText w:val="%8."/>
      <w:lvlJc w:val="left"/>
      <w:pPr>
        <w:ind w:left="5760" w:hanging="360"/>
      </w:pPr>
    </w:lvl>
    <w:lvl w:ilvl="8" w:tplc="8466B036">
      <w:start w:val="1"/>
      <w:numFmt w:val="lowerRoman"/>
      <w:lvlText w:val="%9."/>
      <w:lvlJc w:val="right"/>
      <w:pPr>
        <w:ind w:left="6480" w:hanging="180"/>
      </w:pPr>
    </w:lvl>
  </w:abstractNum>
  <w:abstractNum w:abstractNumId="4" w15:restartNumberingAfterBreak="0">
    <w:nsid w:val="22C04CA0"/>
    <w:multiLevelType w:val="hybridMultilevel"/>
    <w:tmpl w:val="FFFFFFFF"/>
    <w:lvl w:ilvl="0" w:tplc="9342EE16">
      <w:start w:val="1"/>
      <w:numFmt w:val="decimal"/>
      <w:lvlText w:val="%1."/>
      <w:lvlJc w:val="left"/>
      <w:pPr>
        <w:ind w:left="720" w:hanging="360"/>
      </w:pPr>
    </w:lvl>
    <w:lvl w:ilvl="1" w:tplc="529CB826">
      <w:start w:val="1"/>
      <w:numFmt w:val="lowerLetter"/>
      <w:lvlText w:val="%2."/>
      <w:lvlJc w:val="left"/>
      <w:pPr>
        <w:ind w:left="1440" w:hanging="360"/>
      </w:pPr>
    </w:lvl>
    <w:lvl w:ilvl="2" w:tplc="FAA66F68">
      <w:start w:val="1"/>
      <w:numFmt w:val="lowerRoman"/>
      <w:lvlText w:val="%3."/>
      <w:lvlJc w:val="right"/>
      <w:pPr>
        <w:ind w:left="2160" w:hanging="180"/>
      </w:pPr>
    </w:lvl>
    <w:lvl w:ilvl="3" w:tplc="40CE73B2">
      <w:start w:val="1"/>
      <w:numFmt w:val="decimal"/>
      <w:lvlText w:val="%4."/>
      <w:lvlJc w:val="left"/>
      <w:pPr>
        <w:ind w:left="2880" w:hanging="360"/>
      </w:pPr>
    </w:lvl>
    <w:lvl w:ilvl="4" w:tplc="EEBEA6F8">
      <w:start w:val="1"/>
      <w:numFmt w:val="lowerLetter"/>
      <w:lvlText w:val="%5."/>
      <w:lvlJc w:val="left"/>
      <w:pPr>
        <w:ind w:left="3600" w:hanging="360"/>
      </w:pPr>
    </w:lvl>
    <w:lvl w:ilvl="5" w:tplc="F1A4D77A">
      <w:start w:val="1"/>
      <w:numFmt w:val="lowerRoman"/>
      <w:lvlText w:val="%6."/>
      <w:lvlJc w:val="right"/>
      <w:pPr>
        <w:ind w:left="4320" w:hanging="180"/>
      </w:pPr>
    </w:lvl>
    <w:lvl w:ilvl="6" w:tplc="1BAC1C1A">
      <w:start w:val="1"/>
      <w:numFmt w:val="decimal"/>
      <w:lvlText w:val="%7."/>
      <w:lvlJc w:val="left"/>
      <w:pPr>
        <w:ind w:left="5040" w:hanging="360"/>
      </w:pPr>
    </w:lvl>
    <w:lvl w:ilvl="7" w:tplc="94DE9FD8">
      <w:start w:val="1"/>
      <w:numFmt w:val="lowerLetter"/>
      <w:lvlText w:val="%8."/>
      <w:lvlJc w:val="left"/>
      <w:pPr>
        <w:ind w:left="5760" w:hanging="360"/>
      </w:pPr>
    </w:lvl>
    <w:lvl w:ilvl="8" w:tplc="C1485BC8">
      <w:start w:val="1"/>
      <w:numFmt w:val="lowerRoman"/>
      <w:lvlText w:val="%9."/>
      <w:lvlJc w:val="right"/>
      <w:pPr>
        <w:ind w:left="6480" w:hanging="180"/>
      </w:pPr>
    </w:lvl>
  </w:abstractNum>
  <w:abstractNum w:abstractNumId="5" w15:restartNumberingAfterBreak="0">
    <w:nsid w:val="23053EE4"/>
    <w:multiLevelType w:val="multilevel"/>
    <w:tmpl w:val="F182B3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218D1"/>
    <w:multiLevelType w:val="hybridMultilevel"/>
    <w:tmpl w:val="9A729C76"/>
    <w:lvl w:ilvl="0" w:tplc="EAE4C81A">
      <w:start w:val="1"/>
      <w:numFmt w:val="decimal"/>
      <w:lvlText w:val="%1."/>
      <w:lvlJc w:val="left"/>
      <w:pPr>
        <w:ind w:left="720" w:hanging="360"/>
      </w:pPr>
    </w:lvl>
    <w:lvl w:ilvl="1" w:tplc="3710DA0C">
      <w:start w:val="1"/>
      <w:numFmt w:val="lowerLetter"/>
      <w:lvlText w:val="%2."/>
      <w:lvlJc w:val="left"/>
      <w:pPr>
        <w:ind w:left="1440" w:hanging="360"/>
      </w:pPr>
    </w:lvl>
    <w:lvl w:ilvl="2" w:tplc="AA481762">
      <w:start w:val="1"/>
      <w:numFmt w:val="lowerRoman"/>
      <w:lvlText w:val="%3."/>
      <w:lvlJc w:val="right"/>
      <w:pPr>
        <w:ind w:left="2160" w:hanging="180"/>
      </w:pPr>
    </w:lvl>
    <w:lvl w:ilvl="3" w:tplc="77627BD2">
      <w:start w:val="1"/>
      <w:numFmt w:val="decimal"/>
      <w:lvlText w:val="%4."/>
      <w:lvlJc w:val="left"/>
      <w:pPr>
        <w:ind w:left="2880" w:hanging="360"/>
      </w:pPr>
    </w:lvl>
    <w:lvl w:ilvl="4" w:tplc="B93496F6">
      <w:start w:val="1"/>
      <w:numFmt w:val="lowerLetter"/>
      <w:lvlText w:val="%5."/>
      <w:lvlJc w:val="left"/>
      <w:pPr>
        <w:ind w:left="3600" w:hanging="360"/>
      </w:pPr>
    </w:lvl>
    <w:lvl w:ilvl="5" w:tplc="EA6A7EF4">
      <w:start w:val="1"/>
      <w:numFmt w:val="lowerRoman"/>
      <w:lvlText w:val="%6."/>
      <w:lvlJc w:val="right"/>
      <w:pPr>
        <w:ind w:left="4320" w:hanging="180"/>
      </w:pPr>
    </w:lvl>
    <w:lvl w:ilvl="6" w:tplc="EE76B968">
      <w:start w:val="1"/>
      <w:numFmt w:val="decimal"/>
      <w:lvlText w:val="%7."/>
      <w:lvlJc w:val="left"/>
      <w:pPr>
        <w:ind w:left="5040" w:hanging="360"/>
      </w:pPr>
    </w:lvl>
    <w:lvl w:ilvl="7" w:tplc="399222F8">
      <w:start w:val="1"/>
      <w:numFmt w:val="lowerLetter"/>
      <w:lvlText w:val="%8."/>
      <w:lvlJc w:val="left"/>
      <w:pPr>
        <w:ind w:left="5760" w:hanging="360"/>
      </w:pPr>
    </w:lvl>
    <w:lvl w:ilvl="8" w:tplc="D416F4D2">
      <w:start w:val="1"/>
      <w:numFmt w:val="lowerRoman"/>
      <w:lvlText w:val="%9."/>
      <w:lvlJc w:val="right"/>
      <w:pPr>
        <w:ind w:left="6480" w:hanging="180"/>
      </w:pPr>
    </w:lvl>
  </w:abstractNum>
  <w:abstractNum w:abstractNumId="7" w15:restartNumberingAfterBreak="0">
    <w:nsid w:val="2C8930AA"/>
    <w:multiLevelType w:val="hybridMultilevel"/>
    <w:tmpl w:val="FFFFFFFF"/>
    <w:lvl w:ilvl="0" w:tplc="2CA65D72">
      <w:start w:val="1"/>
      <w:numFmt w:val="decimal"/>
      <w:lvlText w:val="%1."/>
      <w:lvlJc w:val="left"/>
      <w:pPr>
        <w:ind w:left="720" w:hanging="360"/>
      </w:pPr>
    </w:lvl>
    <w:lvl w:ilvl="1" w:tplc="4934ABC6">
      <w:start w:val="1"/>
      <w:numFmt w:val="lowerLetter"/>
      <w:lvlText w:val="%2."/>
      <w:lvlJc w:val="left"/>
      <w:pPr>
        <w:ind w:left="1440" w:hanging="360"/>
      </w:pPr>
    </w:lvl>
    <w:lvl w:ilvl="2" w:tplc="760E7F0A">
      <w:start w:val="1"/>
      <w:numFmt w:val="lowerRoman"/>
      <w:lvlText w:val="%3."/>
      <w:lvlJc w:val="right"/>
      <w:pPr>
        <w:ind w:left="2160" w:hanging="180"/>
      </w:pPr>
    </w:lvl>
    <w:lvl w:ilvl="3" w:tplc="0F688264">
      <w:start w:val="1"/>
      <w:numFmt w:val="decimal"/>
      <w:lvlText w:val="%4."/>
      <w:lvlJc w:val="left"/>
      <w:pPr>
        <w:ind w:left="2880" w:hanging="360"/>
      </w:pPr>
    </w:lvl>
    <w:lvl w:ilvl="4" w:tplc="B59CAF4E">
      <w:start w:val="1"/>
      <w:numFmt w:val="lowerLetter"/>
      <w:lvlText w:val="%5."/>
      <w:lvlJc w:val="left"/>
      <w:pPr>
        <w:ind w:left="3600" w:hanging="360"/>
      </w:pPr>
    </w:lvl>
    <w:lvl w:ilvl="5" w:tplc="E294ECCC">
      <w:start w:val="1"/>
      <w:numFmt w:val="lowerRoman"/>
      <w:lvlText w:val="%6."/>
      <w:lvlJc w:val="right"/>
      <w:pPr>
        <w:ind w:left="4320" w:hanging="180"/>
      </w:pPr>
    </w:lvl>
    <w:lvl w:ilvl="6" w:tplc="FAEA8EE4">
      <w:start w:val="1"/>
      <w:numFmt w:val="decimal"/>
      <w:lvlText w:val="%7."/>
      <w:lvlJc w:val="left"/>
      <w:pPr>
        <w:ind w:left="5040" w:hanging="360"/>
      </w:pPr>
    </w:lvl>
    <w:lvl w:ilvl="7" w:tplc="2BEC4B0C">
      <w:start w:val="1"/>
      <w:numFmt w:val="lowerLetter"/>
      <w:lvlText w:val="%8."/>
      <w:lvlJc w:val="left"/>
      <w:pPr>
        <w:ind w:left="5760" w:hanging="360"/>
      </w:pPr>
    </w:lvl>
    <w:lvl w:ilvl="8" w:tplc="9910768C">
      <w:start w:val="1"/>
      <w:numFmt w:val="lowerRoman"/>
      <w:lvlText w:val="%9."/>
      <w:lvlJc w:val="right"/>
      <w:pPr>
        <w:ind w:left="6480" w:hanging="180"/>
      </w:pPr>
    </w:lvl>
  </w:abstractNum>
  <w:abstractNum w:abstractNumId="8" w15:restartNumberingAfterBreak="0">
    <w:nsid w:val="2E621183"/>
    <w:multiLevelType w:val="multilevel"/>
    <w:tmpl w:val="24F67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E6AF0"/>
    <w:multiLevelType w:val="multilevel"/>
    <w:tmpl w:val="7820EE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602D7B"/>
    <w:multiLevelType w:val="hybridMultilevel"/>
    <w:tmpl w:val="FFFFFFFF"/>
    <w:lvl w:ilvl="0" w:tplc="1E342656">
      <w:start w:val="1"/>
      <w:numFmt w:val="decimal"/>
      <w:lvlText w:val="%1."/>
      <w:lvlJc w:val="left"/>
      <w:pPr>
        <w:ind w:left="720" w:hanging="360"/>
      </w:pPr>
    </w:lvl>
    <w:lvl w:ilvl="1" w:tplc="1DAA60D0">
      <w:start w:val="1"/>
      <w:numFmt w:val="lowerLetter"/>
      <w:lvlText w:val="%2."/>
      <w:lvlJc w:val="left"/>
      <w:pPr>
        <w:ind w:left="1440" w:hanging="360"/>
      </w:pPr>
    </w:lvl>
    <w:lvl w:ilvl="2" w:tplc="8DE2B93A">
      <w:start w:val="1"/>
      <w:numFmt w:val="lowerRoman"/>
      <w:lvlText w:val="%3."/>
      <w:lvlJc w:val="right"/>
      <w:pPr>
        <w:ind w:left="2160" w:hanging="180"/>
      </w:pPr>
    </w:lvl>
    <w:lvl w:ilvl="3" w:tplc="7BDE7FE4">
      <w:start w:val="1"/>
      <w:numFmt w:val="decimal"/>
      <w:lvlText w:val="%4."/>
      <w:lvlJc w:val="left"/>
      <w:pPr>
        <w:ind w:left="2880" w:hanging="360"/>
      </w:pPr>
    </w:lvl>
    <w:lvl w:ilvl="4" w:tplc="B0AEAED2">
      <w:start w:val="1"/>
      <w:numFmt w:val="lowerLetter"/>
      <w:lvlText w:val="%5."/>
      <w:lvlJc w:val="left"/>
      <w:pPr>
        <w:ind w:left="3600" w:hanging="360"/>
      </w:pPr>
    </w:lvl>
    <w:lvl w:ilvl="5" w:tplc="2514F02A">
      <w:start w:val="1"/>
      <w:numFmt w:val="lowerRoman"/>
      <w:lvlText w:val="%6."/>
      <w:lvlJc w:val="right"/>
      <w:pPr>
        <w:ind w:left="4320" w:hanging="180"/>
      </w:pPr>
    </w:lvl>
    <w:lvl w:ilvl="6" w:tplc="3E3E4EE0">
      <w:start w:val="1"/>
      <w:numFmt w:val="decimal"/>
      <w:lvlText w:val="%7."/>
      <w:lvlJc w:val="left"/>
      <w:pPr>
        <w:ind w:left="5040" w:hanging="360"/>
      </w:pPr>
    </w:lvl>
    <w:lvl w:ilvl="7" w:tplc="6958D038">
      <w:start w:val="1"/>
      <w:numFmt w:val="lowerLetter"/>
      <w:lvlText w:val="%8."/>
      <w:lvlJc w:val="left"/>
      <w:pPr>
        <w:ind w:left="5760" w:hanging="360"/>
      </w:pPr>
    </w:lvl>
    <w:lvl w:ilvl="8" w:tplc="A0B82F58">
      <w:start w:val="1"/>
      <w:numFmt w:val="lowerRoman"/>
      <w:lvlText w:val="%9."/>
      <w:lvlJc w:val="right"/>
      <w:pPr>
        <w:ind w:left="6480" w:hanging="180"/>
      </w:pPr>
    </w:lvl>
  </w:abstractNum>
  <w:abstractNum w:abstractNumId="11" w15:restartNumberingAfterBreak="0">
    <w:nsid w:val="3ACC6954"/>
    <w:multiLevelType w:val="hybridMultilevel"/>
    <w:tmpl w:val="FFFFFFFF"/>
    <w:lvl w:ilvl="0" w:tplc="21FE7286">
      <w:start w:val="1"/>
      <w:numFmt w:val="decimal"/>
      <w:lvlText w:val="%1."/>
      <w:lvlJc w:val="left"/>
      <w:pPr>
        <w:ind w:left="720" w:hanging="360"/>
      </w:pPr>
    </w:lvl>
    <w:lvl w:ilvl="1" w:tplc="DA50A930">
      <w:start w:val="1"/>
      <w:numFmt w:val="lowerLetter"/>
      <w:lvlText w:val="%2."/>
      <w:lvlJc w:val="left"/>
      <w:pPr>
        <w:ind w:left="1440" w:hanging="360"/>
      </w:pPr>
    </w:lvl>
    <w:lvl w:ilvl="2" w:tplc="419C7F98">
      <w:start w:val="1"/>
      <w:numFmt w:val="lowerRoman"/>
      <w:lvlText w:val="%3."/>
      <w:lvlJc w:val="right"/>
      <w:pPr>
        <w:ind w:left="2160" w:hanging="180"/>
      </w:pPr>
    </w:lvl>
    <w:lvl w:ilvl="3" w:tplc="4FAE539A">
      <w:start w:val="1"/>
      <w:numFmt w:val="decimal"/>
      <w:lvlText w:val="%4."/>
      <w:lvlJc w:val="left"/>
      <w:pPr>
        <w:ind w:left="2880" w:hanging="360"/>
      </w:pPr>
    </w:lvl>
    <w:lvl w:ilvl="4" w:tplc="CA76A18C">
      <w:start w:val="1"/>
      <w:numFmt w:val="lowerLetter"/>
      <w:lvlText w:val="%5."/>
      <w:lvlJc w:val="left"/>
      <w:pPr>
        <w:ind w:left="3600" w:hanging="360"/>
      </w:pPr>
    </w:lvl>
    <w:lvl w:ilvl="5" w:tplc="EC00840C">
      <w:start w:val="1"/>
      <w:numFmt w:val="lowerRoman"/>
      <w:lvlText w:val="%6."/>
      <w:lvlJc w:val="right"/>
      <w:pPr>
        <w:ind w:left="4320" w:hanging="180"/>
      </w:pPr>
    </w:lvl>
    <w:lvl w:ilvl="6" w:tplc="5296BB9A">
      <w:start w:val="1"/>
      <w:numFmt w:val="decimal"/>
      <w:lvlText w:val="%7."/>
      <w:lvlJc w:val="left"/>
      <w:pPr>
        <w:ind w:left="5040" w:hanging="360"/>
      </w:pPr>
    </w:lvl>
    <w:lvl w:ilvl="7" w:tplc="BC8238AA">
      <w:start w:val="1"/>
      <w:numFmt w:val="lowerLetter"/>
      <w:lvlText w:val="%8."/>
      <w:lvlJc w:val="left"/>
      <w:pPr>
        <w:ind w:left="5760" w:hanging="360"/>
      </w:pPr>
    </w:lvl>
    <w:lvl w:ilvl="8" w:tplc="644AC55A">
      <w:start w:val="1"/>
      <w:numFmt w:val="lowerRoman"/>
      <w:lvlText w:val="%9."/>
      <w:lvlJc w:val="right"/>
      <w:pPr>
        <w:ind w:left="6480" w:hanging="180"/>
      </w:pPr>
    </w:lvl>
  </w:abstractNum>
  <w:abstractNum w:abstractNumId="12" w15:restartNumberingAfterBreak="0">
    <w:nsid w:val="3C7B7CAB"/>
    <w:multiLevelType w:val="hybridMultilevel"/>
    <w:tmpl w:val="0AAA60E2"/>
    <w:lvl w:ilvl="0" w:tplc="41D03A58">
      <w:start w:val="1"/>
      <w:numFmt w:val="decimal"/>
      <w:lvlText w:val="%1."/>
      <w:lvlJc w:val="left"/>
      <w:pPr>
        <w:ind w:left="720" w:hanging="360"/>
      </w:pPr>
    </w:lvl>
    <w:lvl w:ilvl="1" w:tplc="B9E04984">
      <w:start w:val="1"/>
      <w:numFmt w:val="lowerLetter"/>
      <w:lvlText w:val="%2."/>
      <w:lvlJc w:val="left"/>
      <w:pPr>
        <w:ind w:left="1440" w:hanging="360"/>
      </w:pPr>
    </w:lvl>
    <w:lvl w:ilvl="2" w:tplc="DED2A1C4">
      <w:start w:val="1"/>
      <w:numFmt w:val="lowerRoman"/>
      <w:lvlText w:val="%3."/>
      <w:lvlJc w:val="right"/>
      <w:pPr>
        <w:ind w:left="2160" w:hanging="180"/>
      </w:pPr>
    </w:lvl>
    <w:lvl w:ilvl="3" w:tplc="82045D5E">
      <w:start w:val="1"/>
      <w:numFmt w:val="decimal"/>
      <w:lvlText w:val="%4."/>
      <w:lvlJc w:val="left"/>
      <w:pPr>
        <w:ind w:left="2880" w:hanging="360"/>
      </w:pPr>
    </w:lvl>
    <w:lvl w:ilvl="4" w:tplc="395603EA">
      <w:start w:val="1"/>
      <w:numFmt w:val="lowerLetter"/>
      <w:lvlText w:val="%5."/>
      <w:lvlJc w:val="left"/>
      <w:pPr>
        <w:ind w:left="3600" w:hanging="360"/>
      </w:pPr>
    </w:lvl>
    <w:lvl w:ilvl="5" w:tplc="872E58C0">
      <w:start w:val="1"/>
      <w:numFmt w:val="lowerRoman"/>
      <w:lvlText w:val="%6."/>
      <w:lvlJc w:val="right"/>
      <w:pPr>
        <w:ind w:left="4320" w:hanging="180"/>
      </w:pPr>
    </w:lvl>
    <w:lvl w:ilvl="6" w:tplc="4CCE0458">
      <w:start w:val="1"/>
      <w:numFmt w:val="decimal"/>
      <w:lvlText w:val="%7."/>
      <w:lvlJc w:val="left"/>
      <w:pPr>
        <w:ind w:left="5040" w:hanging="360"/>
      </w:pPr>
    </w:lvl>
    <w:lvl w:ilvl="7" w:tplc="E7CACC60">
      <w:start w:val="1"/>
      <w:numFmt w:val="lowerLetter"/>
      <w:lvlText w:val="%8."/>
      <w:lvlJc w:val="left"/>
      <w:pPr>
        <w:ind w:left="5760" w:hanging="360"/>
      </w:pPr>
    </w:lvl>
    <w:lvl w:ilvl="8" w:tplc="F606DEA8">
      <w:start w:val="1"/>
      <w:numFmt w:val="lowerRoman"/>
      <w:lvlText w:val="%9."/>
      <w:lvlJc w:val="right"/>
      <w:pPr>
        <w:ind w:left="6480" w:hanging="180"/>
      </w:pPr>
    </w:lvl>
  </w:abstractNum>
  <w:abstractNum w:abstractNumId="13" w15:restartNumberingAfterBreak="0">
    <w:nsid w:val="3CDE4CF4"/>
    <w:multiLevelType w:val="hybridMultilevel"/>
    <w:tmpl w:val="D05049BA"/>
    <w:lvl w:ilvl="0" w:tplc="BE3ED4D0">
      <w:start w:val="1"/>
      <w:numFmt w:val="decimal"/>
      <w:lvlText w:val="%1."/>
      <w:lvlJc w:val="left"/>
      <w:pPr>
        <w:ind w:left="720" w:hanging="360"/>
      </w:pPr>
    </w:lvl>
    <w:lvl w:ilvl="1" w:tplc="ED9E5FB8">
      <w:start w:val="1"/>
      <w:numFmt w:val="lowerLetter"/>
      <w:lvlText w:val="%2."/>
      <w:lvlJc w:val="left"/>
      <w:pPr>
        <w:ind w:left="1440" w:hanging="360"/>
      </w:pPr>
    </w:lvl>
    <w:lvl w:ilvl="2" w:tplc="845A1652">
      <w:start w:val="1"/>
      <w:numFmt w:val="lowerRoman"/>
      <w:lvlText w:val="%3."/>
      <w:lvlJc w:val="right"/>
      <w:pPr>
        <w:ind w:left="2160" w:hanging="180"/>
      </w:pPr>
    </w:lvl>
    <w:lvl w:ilvl="3" w:tplc="8AC40CD8">
      <w:start w:val="1"/>
      <w:numFmt w:val="decimal"/>
      <w:lvlText w:val="%4."/>
      <w:lvlJc w:val="left"/>
      <w:pPr>
        <w:ind w:left="2880" w:hanging="360"/>
      </w:pPr>
    </w:lvl>
    <w:lvl w:ilvl="4" w:tplc="29FABA18">
      <w:start w:val="1"/>
      <w:numFmt w:val="lowerLetter"/>
      <w:lvlText w:val="%5."/>
      <w:lvlJc w:val="left"/>
      <w:pPr>
        <w:ind w:left="3600" w:hanging="360"/>
      </w:pPr>
    </w:lvl>
    <w:lvl w:ilvl="5" w:tplc="C80AB1F6">
      <w:start w:val="1"/>
      <w:numFmt w:val="lowerRoman"/>
      <w:lvlText w:val="%6."/>
      <w:lvlJc w:val="right"/>
      <w:pPr>
        <w:ind w:left="4320" w:hanging="180"/>
      </w:pPr>
    </w:lvl>
    <w:lvl w:ilvl="6" w:tplc="A30EC25C">
      <w:start w:val="1"/>
      <w:numFmt w:val="decimal"/>
      <w:lvlText w:val="%7."/>
      <w:lvlJc w:val="left"/>
      <w:pPr>
        <w:ind w:left="5040" w:hanging="360"/>
      </w:pPr>
    </w:lvl>
    <w:lvl w:ilvl="7" w:tplc="E12CDAE2">
      <w:start w:val="1"/>
      <w:numFmt w:val="lowerLetter"/>
      <w:lvlText w:val="%8."/>
      <w:lvlJc w:val="left"/>
      <w:pPr>
        <w:ind w:left="5760" w:hanging="360"/>
      </w:pPr>
    </w:lvl>
    <w:lvl w:ilvl="8" w:tplc="BC2EA1C0">
      <w:start w:val="1"/>
      <w:numFmt w:val="lowerRoman"/>
      <w:lvlText w:val="%9."/>
      <w:lvlJc w:val="right"/>
      <w:pPr>
        <w:ind w:left="6480" w:hanging="180"/>
      </w:pPr>
    </w:lvl>
  </w:abstractNum>
  <w:abstractNum w:abstractNumId="14" w15:restartNumberingAfterBreak="0">
    <w:nsid w:val="466D73E8"/>
    <w:multiLevelType w:val="hybridMultilevel"/>
    <w:tmpl w:val="C38EB07E"/>
    <w:lvl w:ilvl="0" w:tplc="82B4D718">
      <w:start w:val="1"/>
      <w:numFmt w:val="decimal"/>
      <w:lvlText w:val="%1."/>
      <w:lvlJc w:val="left"/>
      <w:pPr>
        <w:ind w:left="720" w:hanging="360"/>
      </w:pPr>
    </w:lvl>
    <w:lvl w:ilvl="1" w:tplc="570E1D60">
      <w:start w:val="1"/>
      <w:numFmt w:val="lowerLetter"/>
      <w:lvlText w:val="%2."/>
      <w:lvlJc w:val="left"/>
      <w:pPr>
        <w:ind w:left="1440" w:hanging="360"/>
      </w:pPr>
    </w:lvl>
    <w:lvl w:ilvl="2" w:tplc="593E075C">
      <w:start w:val="1"/>
      <w:numFmt w:val="lowerRoman"/>
      <w:lvlText w:val="%3."/>
      <w:lvlJc w:val="right"/>
      <w:pPr>
        <w:ind w:left="2160" w:hanging="180"/>
      </w:pPr>
    </w:lvl>
    <w:lvl w:ilvl="3" w:tplc="AB5EB330">
      <w:start w:val="1"/>
      <w:numFmt w:val="decimal"/>
      <w:lvlText w:val="%4."/>
      <w:lvlJc w:val="left"/>
      <w:pPr>
        <w:ind w:left="2880" w:hanging="360"/>
      </w:pPr>
    </w:lvl>
    <w:lvl w:ilvl="4" w:tplc="D12282CC">
      <w:start w:val="1"/>
      <w:numFmt w:val="lowerLetter"/>
      <w:lvlText w:val="%5."/>
      <w:lvlJc w:val="left"/>
      <w:pPr>
        <w:ind w:left="3600" w:hanging="360"/>
      </w:pPr>
    </w:lvl>
    <w:lvl w:ilvl="5" w:tplc="54722D64">
      <w:start w:val="1"/>
      <w:numFmt w:val="lowerRoman"/>
      <w:lvlText w:val="%6."/>
      <w:lvlJc w:val="right"/>
      <w:pPr>
        <w:ind w:left="4320" w:hanging="180"/>
      </w:pPr>
    </w:lvl>
    <w:lvl w:ilvl="6" w:tplc="B5922CEC">
      <w:start w:val="1"/>
      <w:numFmt w:val="decimal"/>
      <w:lvlText w:val="%7."/>
      <w:lvlJc w:val="left"/>
      <w:pPr>
        <w:ind w:left="5040" w:hanging="360"/>
      </w:pPr>
    </w:lvl>
    <w:lvl w:ilvl="7" w:tplc="A7C2591C">
      <w:start w:val="1"/>
      <w:numFmt w:val="lowerLetter"/>
      <w:lvlText w:val="%8."/>
      <w:lvlJc w:val="left"/>
      <w:pPr>
        <w:ind w:left="5760" w:hanging="360"/>
      </w:pPr>
    </w:lvl>
    <w:lvl w:ilvl="8" w:tplc="F370D46A">
      <w:start w:val="1"/>
      <w:numFmt w:val="lowerRoman"/>
      <w:lvlText w:val="%9."/>
      <w:lvlJc w:val="right"/>
      <w:pPr>
        <w:ind w:left="6480" w:hanging="180"/>
      </w:pPr>
    </w:lvl>
  </w:abstractNum>
  <w:abstractNum w:abstractNumId="15" w15:restartNumberingAfterBreak="0">
    <w:nsid w:val="49120181"/>
    <w:multiLevelType w:val="hybridMultilevel"/>
    <w:tmpl w:val="FFFFFFFF"/>
    <w:lvl w:ilvl="0" w:tplc="CFBAA476">
      <w:start w:val="1"/>
      <w:numFmt w:val="decimal"/>
      <w:lvlText w:val="%1."/>
      <w:lvlJc w:val="left"/>
      <w:pPr>
        <w:ind w:left="720" w:hanging="360"/>
      </w:pPr>
    </w:lvl>
    <w:lvl w:ilvl="1" w:tplc="EE70C50A">
      <w:start w:val="1"/>
      <w:numFmt w:val="lowerLetter"/>
      <w:lvlText w:val="%2."/>
      <w:lvlJc w:val="left"/>
      <w:pPr>
        <w:ind w:left="1440" w:hanging="360"/>
      </w:pPr>
    </w:lvl>
    <w:lvl w:ilvl="2" w:tplc="92D46CD8">
      <w:start w:val="1"/>
      <w:numFmt w:val="lowerRoman"/>
      <w:lvlText w:val="%3."/>
      <w:lvlJc w:val="right"/>
      <w:pPr>
        <w:ind w:left="2160" w:hanging="180"/>
      </w:pPr>
    </w:lvl>
    <w:lvl w:ilvl="3" w:tplc="23D031A2">
      <w:start w:val="1"/>
      <w:numFmt w:val="decimal"/>
      <w:lvlText w:val="%4."/>
      <w:lvlJc w:val="left"/>
      <w:pPr>
        <w:ind w:left="2880" w:hanging="360"/>
      </w:pPr>
    </w:lvl>
    <w:lvl w:ilvl="4" w:tplc="6294564E">
      <w:start w:val="1"/>
      <w:numFmt w:val="lowerLetter"/>
      <w:lvlText w:val="%5."/>
      <w:lvlJc w:val="left"/>
      <w:pPr>
        <w:ind w:left="3600" w:hanging="360"/>
      </w:pPr>
    </w:lvl>
    <w:lvl w:ilvl="5" w:tplc="60BEE49A">
      <w:start w:val="1"/>
      <w:numFmt w:val="lowerRoman"/>
      <w:lvlText w:val="%6."/>
      <w:lvlJc w:val="right"/>
      <w:pPr>
        <w:ind w:left="4320" w:hanging="180"/>
      </w:pPr>
    </w:lvl>
    <w:lvl w:ilvl="6" w:tplc="69648B74">
      <w:start w:val="1"/>
      <w:numFmt w:val="decimal"/>
      <w:lvlText w:val="%7."/>
      <w:lvlJc w:val="left"/>
      <w:pPr>
        <w:ind w:left="5040" w:hanging="360"/>
      </w:pPr>
    </w:lvl>
    <w:lvl w:ilvl="7" w:tplc="5FA83910">
      <w:start w:val="1"/>
      <w:numFmt w:val="lowerLetter"/>
      <w:lvlText w:val="%8."/>
      <w:lvlJc w:val="left"/>
      <w:pPr>
        <w:ind w:left="5760" w:hanging="360"/>
      </w:pPr>
    </w:lvl>
    <w:lvl w:ilvl="8" w:tplc="809A3198">
      <w:start w:val="1"/>
      <w:numFmt w:val="lowerRoman"/>
      <w:lvlText w:val="%9."/>
      <w:lvlJc w:val="right"/>
      <w:pPr>
        <w:ind w:left="6480" w:hanging="180"/>
      </w:pPr>
    </w:lvl>
  </w:abstractNum>
  <w:abstractNum w:abstractNumId="16" w15:restartNumberingAfterBreak="0">
    <w:nsid w:val="4A23697E"/>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D5250"/>
    <w:multiLevelType w:val="multilevel"/>
    <w:tmpl w:val="33F0D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E07ED"/>
    <w:multiLevelType w:val="hybridMultilevel"/>
    <w:tmpl w:val="6DA498DC"/>
    <w:lvl w:ilvl="0" w:tplc="BBB2176E">
      <w:start w:val="1"/>
      <w:numFmt w:val="decimal"/>
      <w:lvlText w:val="%1."/>
      <w:lvlJc w:val="left"/>
      <w:pPr>
        <w:ind w:left="720" w:hanging="360"/>
      </w:pPr>
      <w:rPr>
        <w:rFonts w:ascii="Calibri" w:hAnsi="Calibri" w:cs="Calibri" w:hint="default"/>
        <w:b/>
        <w:bCs/>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47667"/>
    <w:multiLevelType w:val="multilevel"/>
    <w:tmpl w:val="1BD0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0E2C32"/>
    <w:multiLevelType w:val="hybridMultilevel"/>
    <w:tmpl w:val="FFFFFFFF"/>
    <w:lvl w:ilvl="0" w:tplc="833863AC">
      <w:start w:val="1"/>
      <w:numFmt w:val="decimal"/>
      <w:lvlText w:val="%1."/>
      <w:lvlJc w:val="left"/>
      <w:pPr>
        <w:ind w:left="720" w:hanging="360"/>
      </w:pPr>
    </w:lvl>
    <w:lvl w:ilvl="1" w:tplc="13E6B81A">
      <w:start w:val="1"/>
      <w:numFmt w:val="lowerLetter"/>
      <w:lvlText w:val="%2."/>
      <w:lvlJc w:val="left"/>
      <w:pPr>
        <w:ind w:left="1440" w:hanging="360"/>
      </w:pPr>
    </w:lvl>
    <w:lvl w:ilvl="2" w:tplc="2B14E94C">
      <w:start w:val="1"/>
      <w:numFmt w:val="lowerRoman"/>
      <w:lvlText w:val="%3."/>
      <w:lvlJc w:val="right"/>
      <w:pPr>
        <w:ind w:left="2160" w:hanging="180"/>
      </w:pPr>
    </w:lvl>
    <w:lvl w:ilvl="3" w:tplc="9656F368">
      <w:start w:val="1"/>
      <w:numFmt w:val="decimal"/>
      <w:lvlText w:val="%4."/>
      <w:lvlJc w:val="left"/>
      <w:pPr>
        <w:ind w:left="2880" w:hanging="360"/>
      </w:pPr>
    </w:lvl>
    <w:lvl w:ilvl="4" w:tplc="A4F01D3A">
      <w:start w:val="1"/>
      <w:numFmt w:val="lowerLetter"/>
      <w:lvlText w:val="%5."/>
      <w:lvlJc w:val="left"/>
      <w:pPr>
        <w:ind w:left="3600" w:hanging="360"/>
      </w:pPr>
    </w:lvl>
    <w:lvl w:ilvl="5" w:tplc="A4EEE0F6">
      <w:start w:val="1"/>
      <w:numFmt w:val="lowerRoman"/>
      <w:lvlText w:val="%6."/>
      <w:lvlJc w:val="right"/>
      <w:pPr>
        <w:ind w:left="4320" w:hanging="180"/>
      </w:pPr>
    </w:lvl>
    <w:lvl w:ilvl="6" w:tplc="F244DCD6">
      <w:start w:val="1"/>
      <w:numFmt w:val="decimal"/>
      <w:lvlText w:val="%7."/>
      <w:lvlJc w:val="left"/>
      <w:pPr>
        <w:ind w:left="5040" w:hanging="360"/>
      </w:pPr>
    </w:lvl>
    <w:lvl w:ilvl="7" w:tplc="A1D4E36E">
      <w:start w:val="1"/>
      <w:numFmt w:val="lowerLetter"/>
      <w:lvlText w:val="%8."/>
      <w:lvlJc w:val="left"/>
      <w:pPr>
        <w:ind w:left="5760" w:hanging="360"/>
      </w:pPr>
    </w:lvl>
    <w:lvl w:ilvl="8" w:tplc="8048EA0C">
      <w:start w:val="1"/>
      <w:numFmt w:val="lowerRoman"/>
      <w:lvlText w:val="%9."/>
      <w:lvlJc w:val="right"/>
      <w:pPr>
        <w:ind w:left="6480" w:hanging="180"/>
      </w:pPr>
    </w:lvl>
  </w:abstractNum>
  <w:abstractNum w:abstractNumId="21" w15:restartNumberingAfterBreak="0">
    <w:nsid w:val="56BD4977"/>
    <w:multiLevelType w:val="hybridMultilevel"/>
    <w:tmpl w:val="44EC6858"/>
    <w:lvl w:ilvl="0" w:tplc="99107150">
      <w:start w:val="1"/>
      <w:numFmt w:val="decimal"/>
      <w:lvlText w:val="%1."/>
      <w:lvlJc w:val="left"/>
      <w:pPr>
        <w:ind w:left="720" w:hanging="360"/>
      </w:pPr>
    </w:lvl>
    <w:lvl w:ilvl="1" w:tplc="7C40302C">
      <w:start w:val="1"/>
      <w:numFmt w:val="lowerLetter"/>
      <w:lvlText w:val="%2."/>
      <w:lvlJc w:val="left"/>
      <w:pPr>
        <w:ind w:left="1440" w:hanging="360"/>
      </w:pPr>
    </w:lvl>
    <w:lvl w:ilvl="2" w:tplc="837E009E">
      <w:start w:val="1"/>
      <w:numFmt w:val="lowerRoman"/>
      <w:lvlText w:val="%3."/>
      <w:lvlJc w:val="right"/>
      <w:pPr>
        <w:ind w:left="2160" w:hanging="180"/>
      </w:pPr>
    </w:lvl>
    <w:lvl w:ilvl="3" w:tplc="15E07344">
      <w:start w:val="1"/>
      <w:numFmt w:val="decimal"/>
      <w:lvlText w:val="%4."/>
      <w:lvlJc w:val="left"/>
      <w:pPr>
        <w:ind w:left="2880" w:hanging="360"/>
      </w:pPr>
    </w:lvl>
    <w:lvl w:ilvl="4" w:tplc="56428AAA">
      <w:start w:val="1"/>
      <w:numFmt w:val="lowerLetter"/>
      <w:lvlText w:val="%5."/>
      <w:lvlJc w:val="left"/>
      <w:pPr>
        <w:ind w:left="3600" w:hanging="360"/>
      </w:pPr>
    </w:lvl>
    <w:lvl w:ilvl="5" w:tplc="21621C90">
      <w:start w:val="1"/>
      <w:numFmt w:val="lowerRoman"/>
      <w:lvlText w:val="%6."/>
      <w:lvlJc w:val="right"/>
      <w:pPr>
        <w:ind w:left="4320" w:hanging="180"/>
      </w:pPr>
    </w:lvl>
    <w:lvl w:ilvl="6" w:tplc="323EFAD6">
      <w:start w:val="1"/>
      <w:numFmt w:val="decimal"/>
      <w:lvlText w:val="%7."/>
      <w:lvlJc w:val="left"/>
      <w:pPr>
        <w:ind w:left="5040" w:hanging="360"/>
      </w:pPr>
    </w:lvl>
    <w:lvl w:ilvl="7" w:tplc="7A9AE07E">
      <w:start w:val="1"/>
      <w:numFmt w:val="lowerLetter"/>
      <w:lvlText w:val="%8."/>
      <w:lvlJc w:val="left"/>
      <w:pPr>
        <w:ind w:left="5760" w:hanging="360"/>
      </w:pPr>
    </w:lvl>
    <w:lvl w:ilvl="8" w:tplc="EAA4455C">
      <w:start w:val="1"/>
      <w:numFmt w:val="lowerRoman"/>
      <w:lvlText w:val="%9."/>
      <w:lvlJc w:val="right"/>
      <w:pPr>
        <w:ind w:left="6480" w:hanging="180"/>
      </w:pPr>
    </w:lvl>
  </w:abstractNum>
  <w:abstractNum w:abstractNumId="22" w15:restartNumberingAfterBreak="0">
    <w:nsid w:val="5FCB4353"/>
    <w:multiLevelType w:val="hybridMultilevel"/>
    <w:tmpl w:val="00E46266"/>
    <w:lvl w:ilvl="0" w:tplc="69A2CD52">
      <w:start w:val="1"/>
      <w:numFmt w:val="decimal"/>
      <w:lvlText w:val="%1."/>
      <w:lvlJc w:val="left"/>
      <w:pPr>
        <w:ind w:left="720" w:hanging="360"/>
      </w:pPr>
    </w:lvl>
    <w:lvl w:ilvl="1" w:tplc="4BB27348">
      <w:start w:val="1"/>
      <w:numFmt w:val="lowerLetter"/>
      <w:lvlText w:val="%2."/>
      <w:lvlJc w:val="left"/>
      <w:pPr>
        <w:ind w:left="1440" w:hanging="360"/>
      </w:pPr>
    </w:lvl>
    <w:lvl w:ilvl="2" w:tplc="F88243AC">
      <w:start w:val="1"/>
      <w:numFmt w:val="lowerRoman"/>
      <w:lvlText w:val="%3."/>
      <w:lvlJc w:val="right"/>
      <w:pPr>
        <w:ind w:left="2160" w:hanging="180"/>
      </w:pPr>
    </w:lvl>
    <w:lvl w:ilvl="3" w:tplc="750CB534">
      <w:start w:val="1"/>
      <w:numFmt w:val="decimal"/>
      <w:lvlText w:val="%4."/>
      <w:lvlJc w:val="left"/>
      <w:pPr>
        <w:ind w:left="2880" w:hanging="360"/>
      </w:pPr>
    </w:lvl>
    <w:lvl w:ilvl="4" w:tplc="12FE1D5C">
      <w:start w:val="1"/>
      <w:numFmt w:val="lowerLetter"/>
      <w:lvlText w:val="%5."/>
      <w:lvlJc w:val="left"/>
      <w:pPr>
        <w:ind w:left="3600" w:hanging="360"/>
      </w:pPr>
    </w:lvl>
    <w:lvl w:ilvl="5" w:tplc="AFC4804E">
      <w:start w:val="1"/>
      <w:numFmt w:val="lowerRoman"/>
      <w:lvlText w:val="%6."/>
      <w:lvlJc w:val="right"/>
      <w:pPr>
        <w:ind w:left="4320" w:hanging="180"/>
      </w:pPr>
    </w:lvl>
    <w:lvl w:ilvl="6" w:tplc="D65652CE">
      <w:start w:val="1"/>
      <w:numFmt w:val="decimal"/>
      <w:lvlText w:val="%7."/>
      <w:lvlJc w:val="left"/>
      <w:pPr>
        <w:ind w:left="5040" w:hanging="360"/>
      </w:pPr>
    </w:lvl>
    <w:lvl w:ilvl="7" w:tplc="11288478">
      <w:start w:val="1"/>
      <w:numFmt w:val="lowerLetter"/>
      <w:lvlText w:val="%8."/>
      <w:lvlJc w:val="left"/>
      <w:pPr>
        <w:ind w:left="5760" w:hanging="360"/>
      </w:pPr>
    </w:lvl>
    <w:lvl w:ilvl="8" w:tplc="7C7ADCB2">
      <w:start w:val="1"/>
      <w:numFmt w:val="lowerRoman"/>
      <w:lvlText w:val="%9."/>
      <w:lvlJc w:val="right"/>
      <w:pPr>
        <w:ind w:left="6480" w:hanging="180"/>
      </w:pPr>
    </w:lvl>
  </w:abstractNum>
  <w:abstractNum w:abstractNumId="23" w15:restartNumberingAfterBreak="0">
    <w:nsid w:val="6402725E"/>
    <w:multiLevelType w:val="hybridMultilevel"/>
    <w:tmpl w:val="BE4607EA"/>
    <w:lvl w:ilvl="0" w:tplc="E286CB00">
      <w:start w:val="1"/>
      <w:numFmt w:val="decimal"/>
      <w:lvlText w:val="%1."/>
      <w:lvlJc w:val="left"/>
      <w:pPr>
        <w:ind w:left="720" w:hanging="360"/>
      </w:pPr>
    </w:lvl>
    <w:lvl w:ilvl="1" w:tplc="718C6F20">
      <w:start w:val="1"/>
      <w:numFmt w:val="lowerLetter"/>
      <w:lvlText w:val="%2."/>
      <w:lvlJc w:val="left"/>
      <w:pPr>
        <w:ind w:left="1440" w:hanging="360"/>
      </w:pPr>
    </w:lvl>
    <w:lvl w:ilvl="2" w:tplc="BE64A58A">
      <w:start w:val="1"/>
      <w:numFmt w:val="lowerRoman"/>
      <w:lvlText w:val="%3."/>
      <w:lvlJc w:val="right"/>
      <w:pPr>
        <w:ind w:left="2160" w:hanging="180"/>
      </w:pPr>
    </w:lvl>
    <w:lvl w:ilvl="3" w:tplc="2772CDCC">
      <w:start w:val="1"/>
      <w:numFmt w:val="decimal"/>
      <w:lvlText w:val="%4."/>
      <w:lvlJc w:val="left"/>
      <w:pPr>
        <w:ind w:left="2880" w:hanging="360"/>
      </w:pPr>
    </w:lvl>
    <w:lvl w:ilvl="4" w:tplc="C7825452">
      <w:start w:val="1"/>
      <w:numFmt w:val="lowerLetter"/>
      <w:lvlText w:val="%5."/>
      <w:lvlJc w:val="left"/>
      <w:pPr>
        <w:ind w:left="3600" w:hanging="360"/>
      </w:pPr>
    </w:lvl>
    <w:lvl w:ilvl="5" w:tplc="659EC6AE">
      <w:start w:val="1"/>
      <w:numFmt w:val="lowerRoman"/>
      <w:lvlText w:val="%6."/>
      <w:lvlJc w:val="right"/>
      <w:pPr>
        <w:ind w:left="4320" w:hanging="180"/>
      </w:pPr>
    </w:lvl>
    <w:lvl w:ilvl="6" w:tplc="97DC68C4">
      <w:start w:val="1"/>
      <w:numFmt w:val="decimal"/>
      <w:lvlText w:val="%7."/>
      <w:lvlJc w:val="left"/>
      <w:pPr>
        <w:ind w:left="5040" w:hanging="360"/>
      </w:pPr>
    </w:lvl>
    <w:lvl w:ilvl="7" w:tplc="8C04010C">
      <w:start w:val="1"/>
      <w:numFmt w:val="lowerLetter"/>
      <w:lvlText w:val="%8."/>
      <w:lvlJc w:val="left"/>
      <w:pPr>
        <w:ind w:left="5760" w:hanging="360"/>
      </w:pPr>
    </w:lvl>
    <w:lvl w:ilvl="8" w:tplc="9634DA40">
      <w:start w:val="1"/>
      <w:numFmt w:val="lowerRoman"/>
      <w:lvlText w:val="%9."/>
      <w:lvlJc w:val="right"/>
      <w:pPr>
        <w:ind w:left="6480" w:hanging="180"/>
      </w:pPr>
    </w:lvl>
  </w:abstractNum>
  <w:abstractNum w:abstractNumId="24" w15:restartNumberingAfterBreak="0">
    <w:nsid w:val="678F1BE7"/>
    <w:multiLevelType w:val="multilevel"/>
    <w:tmpl w:val="BD8297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AE186D"/>
    <w:multiLevelType w:val="multilevel"/>
    <w:tmpl w:val="674AE20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25C1428"/>
    <w:multiLevelType w:val="hybridMultilevel"/>
    <w:tmpl w:val="FFFFFFFF"/>
    <w:lvl w:ilvl="0" w:tplc="09F6969C">
      <w:start w:val="1"/>
      <w:numFmt w:val="decimal"/>
      <w:lvlText w:val="%1."/>
      <w:lvlJc w:val="left"/>
      <w:pPr>
        <w:ind w:left="720" w:hanging="360"/>
      </w:pPr>
    </w:lvl>
    <w:lvl w:ilvl="1" w:tplc="7A824708">
      <w:start w:val="1"/>
      <w:numFmt w:val="lowerLetter"/>
      <w:lvlText w:val="%2."/>
      <w:lvlJc w:val="left"/>
      <w:pPr>
        <w:ind w:left="1440" w:hanging="360"/>
      </w:pPr>
    </w:lvl>
    <w:lvl w:ilvl="2" w:tplc="54E69346">
      <w:start w:val="1"/>
      <w:numFmt w:val="lowerRoman"/>
      <w:lvlText w:val="%3."/>
      <w:lvlJc w:val="right"/>
      <w:pPr>
        <w:ind w:left="2160" w:hanging="180"/>
      </w:pPr>
    </w:lvl>
    <w:lvl w:ilvl="3" w:tplc="65725BBA">
      <w:start w:val="1"/>
      <w:numFmt w:val="decimal"/>
      <w:lvlText w:val="%4."/>
      <w:lvlJc w:val="left"/>
      <w:pPr>
        <w:ind w:left="2880" w:hanging="360"/>
      </w:pPr>
    </w:lvl>
    <w:lvl w:ilvl="4" w:tplc="56AEE024">
      <w:start w:val="1"/>
      <w:numFmt w:val="lowerLetter"/>
      <w:lvlText w:val="%5."/>
      <w:lvlJc w:val="left"/>
      <w:pPr>
        <w:ind w:left="3600" w:hanging="360"/>
      </w:pPr>
    </w:lvl>
    <w:lvl w:ilvl="5" w:tplc="49522498">
      <w:start w:val="1"/>
      <w:numFmt w:val="lowerRoman"/>
      <w:lvlText w:val="%6."/>
      <w:lvlJc w:val="right"/>
      <w:pPr>
        <w:ind w:left="4320" w:hanging="180"/>
      </w:pPr>
    </w:lvl>
    <w:lvl w:ilvl="6" w:tplc="4A74C614">
      <w:start w:val="1"/>
      <w:numFmt w:val="decimal"/>
      <w:lvlText w:val="%7."/>
      <w:lvlJc w:val="left"/>
      <w:pPr>
        <w:ind w:left="5040" w:hanging="360"/>
      </w:pPr>
    </w:lvl>
    <w:lvl w:ilvl="7" w:tplc="76121492">
      <w:start w:val="1"/>
      <w:numFmt w:val="lowerLetter"/>
      <w:lvlText w:val="%8."/>
      <w:lvlJc w:val="left"/>
      <w:pPr>
        <w:ind w:left="5760" w:hanging="360"/>
      </w:pPr>
    </w:lvl>
    <w:lvl w:ilvl="8" w:tplc="890AC984">
      <w:start w:val="1"/>
      <w:numFmt w:val="lowerRoman"/>
      <w:lvlText w:val="%9."/>
      <w:lvlJc w:val="right"/>
      <w:pPr>
        <w:ind w:left="6480" w:hanging="180"/>
      </w:pPr>
    </w:lvl>
  </w:abstractNum>
  <w:abstractNum w:abstractNumId="27" w15:restartNumberingAfterBreak="0">
    <w:nsid w:val="74040E9D"/>
    <w:multiLevelType w:val="hybridMultilevel"/>
    <w:tmpl w:val="AF327D9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8" w15:restartNumberingAfterBreak="0">
    <w:nsid w:val="74BD353A"/>
    <w:multiLevelType w:val="multilevel"/>
    <w:tmpl w:val="8F367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F9000A"/>
    <w:multiLevelType w:val="multilevel"/>
    <w:tmpl w:val="0B88A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C315D"/>
    <w:multiLevelType w:val="hybridMultilevel"/>
    <w:tmpl w:val="FFFFFFFF"/>
    <w:lvl w:ilvl="0" w:tplc="04408560">
      <w:start w:val="1"/>
      <w:numFmt w:val="decimal"/>
      <w:lvlText w:val="%1."/>
      <w:lvlJc w:val="left"/>
      <w:pPr>
        <w:ind w:left="720" w:hanging="360"/>
      </w:pPr>
    </w:lvl>
    <w:lvl w:ilvl="1" w:tplc="203C229C">
      <w:start w:val="1"/>
      <w:numFmt w:val="lowerLetter"/>
      <w:lvlText w:val="%2."/>
      <w:lvlJc w:val="left"/>
      <w:pPr>
        <w:ind w:left="1440" w:hanging="360"/>
      </w:pPr>
    </w:lvl>
    <w:lvl w:ilvl="2" w:tplc="35660672">
      <w:start w:val="1"/>
      <w:numFmt w:val="lowerRoman"/>
      <w:lvlText w:val="%3."/>
      <w:lvlJc w:val="right"/>
      <w:pPr>
        <w:ind w:left="2160" w:hanging="180"/>
      </w:pPr>
    </w:lvl>
    <w:lvl w:ilvl="3" w:tplc="B41AF3C4">
      <w:start w:val="1"/>
      <w:numFmt w:val="decimal"/>
      <w:lvlText w:val="%4."/>
      <w:lvlJc w:val="left"/>
      <w:pPr>
        <w:ind w:left="2880" w:hanging="360"/>
      </w:pPr>
    </w:lvl>
    <w:lvl w:ilvl="4" w:tplc="4684C4D0">
      <w:start w:val="1"/>
      <w:numFmt w:val="lowerLetter"/>
      <w:lvlText w:val="%5."/>
      <w:lvlJc w:val="left"/>
      <w:pPr>
        <w:ind w:left="3600" w:hanging="360"/>
      </w:pPr>
    </w:lvl>
    <w:lvl w:ilvl="5" w:tplc="18DCEFE4">
      <w:start w:val="1"/>
      <w:numFmt w:val="lowerRoman"/>
      <w:lvlText w:val="%6."/>
      <w:lvlJc w:val="right"/>
      <w:pPr>
        <w:ind w:left="4320" w:hanging="180"/>
      </w:pPr>
    </w:lvl>
    <w:lvl w:ilvl="6" w:tplc="C3E02052">
      <w:start w:val="1"/>
      <w:numFmt w:val="decimal"/>
      <w:lvlText w:val="%7."/>
      <w:lvlJc w:val="left"/>
      <w:pPr>
        <w:ind w:left="5040" w:hanging="360"/>
      </w:pPr>
    </w:lvl>
    <w:lvl w:ilvl="7" w:tplc="7486A1EE">
      <w:start w:val="1"/>
      <w:numFmt w:val="lowerLetter"/>
      <w:lvlText w:val="%8."/>
      <w:lvlJc w:val="left"/>
      <w:pPr>
        <w:ind w:left="5760" w:hanging="360"/>
      </w:pPr>
    </w:lvl>
    <w:lvl w:ilvl="8" w:tplc="C76CF49E">
      <w:start w:val="1"/>
      <w:numFmt w:val="lowerRoman"/>
      <w:lvlText w:val="%9."/>
      <w:lvlJc w:val="right"/>
      <w:pPr>
        <w:ind w:left="6480" w:hanging="180"/>
      </w:pPr>
    </w:lvl>
  </w:abstractNum>
  <w:num w:numId="1" w16cid:durableId="875965180">
    <w:abstractNumId w:val="21"/>
  </w:num>
  <w:num w:numId="2" w16cid:durableId="698513755">
    <w:abstractNumId w:val="3"/>
  </w:num>
  <w:num w:numId="3" w16cid:durableId="509222590">
    <w:abstractNumId w:val="14"/>
  </w:num>
  <w:num w:numId="4" w16cid:durableId="860781583">
    <w:abstractNumId w:val="12"/>
  </w:num>
  <w:num w:numId="5" w16cid:durableId="263419090">
    <w:abstractNumId w:val="13"/>
  </w:num>
  <w:num w:numId="6" w16cid:durableId="1496988749">
    <w:abstractNumId w:val="23"/>
  </w:num>
  <w:num w:numId="7" w16cid:durableId="762916664">
    <w:abstractNumId w:val="6"/>
  </w:num>
  <w:num w:numId="8" w16cid:durableId="248852842">
    <w:abstractNumId w:val="22"/>
  </w:num>
  <w:num w:numId="9" w16cid:durableId="989868519">
    <w:abstractNumId w:val="7"/>
  </w:num>
  <w:num w:numId="10" w16cid:durableId="1465585823">
    <w:abstractNumId w:val="4"/>
  </w:num>
  <w:num w:numId="11" w16cid:durableId="1174302227">
    <w:abstractNumId w:val="10"/>
  </w:num>
  <w:num w:numId="12" w16cid:durableId="409547844">
    <w:abstractNumId w:val="20"/>
  </w:num>
  <w:num w:numId="13" w16cid:durableId="461920012">
    <w:abstractNumId w:val="15"/>
  </w:num>
  <w:num w:numId="14" w16cid:durableId="693851599">
    <w:abstractNumId w:val="30"/>
  </w:num>
  <w:num w:numId="15" w16cid:durableId="2056150077">
    <w:abstractNumId w:val="26"/>
  </w:num>
  <w:num w:numId="16" w16cid:durableId="812605168">
    <w:abstractNumId w:val="11"/>
  </w:num>
  <w:num w:numId="17" w16cid:durableId="669985887">
    <w:abstractNumId w:val="25"/>
  </w:num>
  <w:num w:numId="18" w16cid:durableId="301498024">
    <w:abstractNumId w:val="19"/>
  </w:num>
  <w:num w:numId="19" w16cid:durableId="1802848278">
    <w:abstractNumId w:val="17"/>
  </w:num>
  <w:num w:numId="20" w16cid:durableId="1533151526">
    <w:abstractNumId w:val="16"/>
  </w:num>
  <w:num w:numId="21" w16cid:durableId="866605207">
    <w:abstractNumId w:val="2"/>
  </w:num>
  <w:num w:numId="22" w16cid:durableId="1686445265">
    <w:abstractNumId w:val="5"/>
  </w:num>
  <w:num w:numId="23" w16cid:durableId="872350640">
    <w:abstractNumId w:val="1"/>
  </w:num>
  <w:num w:numId="24" w16cid:durableId="2113698922">
    <w:abstractNumId w:val="0"/>
  </w:num>
  <w:num w:numId="25" w16cid:durableId="377055028">
    <w:abstractNumId w:val="8"/>
  </w:num>
  <w:num w:numId="26" w16cid:durableId="1245525955">
    <w:abstractNumId w:val="9"/>
  </w:num>
  <w:num w:numId="27" w16cid:durableId="2013871564">
    <w:abstractNumId w:val="28"/>
  </w:num>
  <w:num w:numId="28" w16cid:durableId="782188699">
    <w:abstractNumId w:val="29"/>
  </w:num>
  <w:num w:numId="29" w16cid:durableId="830827483">
    <w:abstractNumId w:val="24"/>
  </w:num>
  <w:num w:numId="30" w16cid:durableId="720592377">
    <w:abstractNumId w:val="27"/>
  </w:num>
  <w:num w:numId="31" w16cid:durableId="819493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93F07"/>
    <w:rsid w:val="00004E28"/>
    <w:rsid w:val="000209DE"/>
    <w:rsid w:val="0002333F"/>
    <w:rsid w:val="00027A14"/>
    <w:rsid w:val="00030706"/>
    <w:rsid w:val="0003748B"/>
    <w:rsid w:val="00063F56"/>
    <w:rsid w:val="000700BF"/>
    <w:rsid w:val="0007248D"/>
    <w:rsid w:val="00073C3E"/>
    <w:rsid w:val="00074AED"/>
    <w:rsid w:val="0008696B"/>
    <w:rsid w:val="00091598"/>
    <w:rsid w:val="000A3DB2"/>
    <w:rsid w:val="000B118B"/>
    <w:rsid w:val="000C6A8D"/>
    <w:rsid w:val="000D6B1B"/>
    <w:rsid w:val="000E1CDD"/>
    <w:rsid w:val="000F7C77"/>
    <w:rsid w:val="00110E94"/>
    <w:rsid w:val="001460C6"/>
    <w:rsid w:val="001504DF"/>
    <w:rsid w:val="0016559B"/>
    <w:rsid w:val="00170475"/>
    <w:rsid w:val="00171ABD"/>
    <w:rsid w:val="00191A3A"/>
    <w:rsid w:val="00194A1A"/>
    <w:rsid w:val="001A19C9"/>
    <w:rsid w:val="001B3DCA"/>
    <w:rsid w:val="00205886"/>
    <w:rsid w:val="00214EB9"/>
    <w:rsid w:val="00221EB0"/>
    <w:rsid w:val="00223B8B"/>
    <w:rsid w:val="00225397"/>
    <w:rsid w:val="00237C08"/>
    <w:rsid w:val="0026259D"/>
    <w:rsid w:val="002664C7"/>
    <w:rsid w:val="0026664C"/>
    <w:rsid w:val="00274964"/>
    <w:rsid w:val="002858E7"/>
    <w:rsid w:val="00291029"/>
    <w:rsid w:val="0029408E"/>
    <w:rsid w:val="002A72AE"/>
    <w:rsid w:val="002B2460"/>
    <w:rsid w:val="002C166A"/>
    <w:rsid w:val="002F6217"/>
    <w:rsid w:val="002F7E35"/>
    <w:rsid w:val="00300D99"/>
    <w:rsid w:val="00312FA3"/>
    <w:rsid w:val="00317889"/>
    <w:rsid w:val="00324E67"/>
    <w:rsid w:val="00330557"/>
    <w:rsid w:val="00330760"/>
    <w:rsid w:val="00330DA6"/>
    <w:rsid w:val="00335FB3"/>
    <w:rsid w:val="00337FE8"/>
    <w:rsid w:val="003478AA"/>
    <w:rsid w:val="00355CA9"/>
    <w:rsid w:val="003648FD"/>
    <w:rsid w:val="003649D9"/>
    <w:rsid w:val="003655A2"/>
    <w:rsid w:val="00372FBC"/>
    <w:rsid w:val="00373C67"/>
    <w:rsid w:val="00377B05"/>
    <w:rsid w:val="00381925"/>
    <w:rsid w:val="003A355F"/>
    <w:rsid w:val="003A4FF3"/>
    <w:rsid w:val="003D29F8"/>
    <w:rsid w:val="003E47B8"/>
    <w:rsid w:val="00403BE0"/>
    <w:rsid w:val="0041120F"/>
    <w:rsid w:val="0042278A"/>
    <w:rsid w:val="00430AF5"/>
    <w:rsid w:val="00462A72"/>
    <w:rsid w:val="004659D5"/>
    <w:rsid w:val="0047064E"/>
    <w:rsid w:val="004807BA"/>
    <w:rsid w:val="004879A6"/>
    <w:rsid w:val="00487ED7"/>
    <w:rsid w:val="00494F97"/>
    <w:rsid w:val="004A209F"/>
    <w:rsid w:val="004B1542"/>
    <w:rsid w:val="004B23D9"/>
    <w:rsid w:val="004B2BBF"/>
    <w:rsid w:val="004C018A"/>
    <w:rsid w:val="004C2526"/>
    <w:rsid w:val="004C5524"/>
    <w:rsid w:val="004C5917"/>
    <w:rsid w:val="004D422B"/>
    <w:rsid w:val="004F4374"/>
    <w:rsid w:val="00500EB5"/>
    <w:rsid w:val="0051160E"/>
    <w:rsid w:val="005149D1"/>
    <w:rsid w:val="0051634A"/>
    <w:rsid w:val="0052532E"/>
    <w:rsid w:val="005300F7"/>
    <w:rsid w:val="00530A98"/>
    <w:rsid w:val="00531AF2"/>
    <w:rsid w:val="005325A4"/>
    <w:rsid w:val="00536265"/>
    <w:rsid w:val="00544C3C"/>
    <w:rsid w:val="0055126B"/>
    <w:rsid w:val="00583C09"/>
    <w:rsid w:val="005949AD"/>
    <w:rsid w:val="0059733F"/>
    <w:rsid w:val="005C0748"/>
    <w:rsid w:val="005C5046"/>
    <w:rsid w:val="005D5D8A"/>
    <w:rsid w:val="005E5F31"/>
    <w:rsid w:val="00604EC4"/>
    <w:rsid w:val="00610BE0"/>
    <w:rsid w:val="00612E34"/>
    <w:rsid w:val="00613773"/>
    <w:rsid w:val="00614FF5"/>
    <w:rsid w:val="006276BB"/>
    <w:rsid w:val="0063592F"/>
    <w:rsid w:val="00645D11"/>
    <w:rsid w:val="00646BEF"/>
    <w:rsid w:val="00662BD9"/>
    <w:rsid w:val="00677C8D"/>
    <w:rsid w:val="00690352"/>
    <w:rsid w:val="006A2887"/>
    <w:rsid w:val="006A7720"/>
    <w:rsid w:val="006B02AC"/>
    <w:rsid w:val="006C6D7B"/>
    <w:rsid w:val="006D457C"/>
    <w:rsid w:val="006D6D37"/>
    <w:rsid w:val="0073510B"/>
    <w:rsid w:val="00741EA0"/>
    <w:rsid w:val="00745945"/>
    <w:rsid w:val="0075563B"/>
    <w:rsid w:val="00773055"/>
    <w:rsid w:val="00774315"/>
    <w:rsid w:val="007845D3"/>
    <w:rsid w:val="0078521E"/>
    <w:rsid w:val="00790B5F"/>
    <w:rsid w:val="007A33FA"/>
    <w:rsid w:val="007A695A"/>
    <w:rsid w:val="007B4959"/>
    <w:rsid w:val="007C3837"/>
    <w:rsid w:val="007D4ECB"/>
    <w:rsid w:val="007E4D08"/>
    <w:rsid w:val="0080126F"/>
    <w:rsid w:val="00802E03"/>
    <w:rsid w:val="00804677"/>
    <w:rsid w:val="00813651"/>
    <w:rsid w:val="008159F5"/>
    <w:rsid w:val="0084000A"/>
    <w:rsid w:val="00840578"/>
    <w:rsid w:val="0084346E"/>
    <w:rsid w:val="00852172"/>
    <w:rsid w:val="00857AF7"/>
    <w:rsid w:val="00857C26"/>
    <w:rsid w:val="00864D1F"/>
    <w:rsid w:val="008653EB"/>
    <w:rsid w:val="00870246"/>
    <w:rsid w:val="00875D20"/>
    <w:rsid w:val="00897CAE"/>
    <w:rsid w:val="008A2053"/>
    <w:rsid w:val="008A57E6"/>
    <w:rsid w:val="008A6AFB"/>
    <w:rsid w:val="008C7766"/>
    <w:rsid w:val="008E1E71"/>
    <w:rsid w:val="008E2298"/>
    <w:rsid w:val="008F6EF0"/>
    <w:rsid w:val="00914509"/>
    <w:rsid w:val="00922CED"/>
    <w:rsid w:val="00923C46"/>
    <w:rsid w:val="00930034"/>
    <w:rsid w:val="00931C1F"/>
    <w:rsid w:val="0094622F"/>
    <w:rsid w:val="009519DF"/>
    <w:rsid w:val="00952BCC"/>
    <w:rsid w:val="00955D95"/>
    <w:rsid w:val="009567F3"/>
    <w:rsid w:val="009574E9"/>
    <w:rsid w:val="00967569"/>
    <w:rsid w:val="00976FA3"/>
    <w:rsid w:val="009838F5"/>
    <w:rsid w:val="00991C1C"/>
    <w:rsid w:val="009A3C9F"/>
    <w:rsid w:val="009C6682"/>
    <w:rsid w:val="009E2400"/>
    <w:rsid w:val="009F7E72"/>
    <w:rsid w:val="00A01D01"/>
    <w:rsid w:val="00A04682"/>
    <w:rsid w:val="00A07615"/>
    <w:rsid w:val="00A21196"/>
    <w:rsid w:val="00A362A2"/>
    <w:rsid w:val="00A36CD0"/>
    <w:rsid w:val="00A41FBC"/>
    <w:rsid w:val="00A443D1"/>
    <w:rsid w:val="00A60B87"/>
    <w:rsid w:val="00A646FF"/>
    <w:rsid w:val="00A66865"/>
    <w:rsid w:val="00A846F6"/>
    <w:rsid w:val="00A84DF1"/>
    <w:rsid w:val="00A870EB"/>
    <w:rsid w:val="00A93A6B"/>
    <w:rsid w:val="00A94728"/>
    <w:rsid w:val="00AA18AB"/>
    <w:rsid w:val="00AC039B"/>
    <w:rsid w:val="00AD02BF"/>
    <w:rsid w:val="00AD0638"/>
    <w:rsid w:val="00AD0B06"/>
    <w:rsid w:val="00AE6115"/>
    <w:rsid w:val="00AF5AFE"/>
    <w:rsid w:val="00B20235"/>
    <w:rsid w:val="00B5500A"/>
    <w:rsid w:val="00B8272C"/>
    <w:rsid w:val="00BA762E"/>
    <w:rsid w:val="00BB2E31"/>
    <w:rsid w:val="00BB3697"/>
    <w:rsid w:val="00BB3AE9"/>
    <w:rsid w:val="00BC1FFE"/>
    <w:rsid w:val="00BC56F6"/>
    <w:rsid w:val="00BC6D82"/>
    <w:rsid w:val="00BF0882"/>
    <w:rsid w:val="00C0641F"/>
    <w:rsid w:val="00C071BE"/>
    <w:rsid w:val="00C12033"/>
    <w:rsid w:val="00C135B6"/>
    <w:rsid w:val="00C41091"/>
    <w:rsid w:val="00C860FE"/>
    <w:rsid w:val="00C869E2"/>
    <w:rsid w:val="00C96E49"/>
    <w:rsid w:val="00CA098E"/>
    <w:rsid w:val="00CA7DDA"/>
    <w:rsid w:val="00CB7C3E"/>
    <w:rsid w:val="00CC592F"/>
    <w:rsid w:val="00CD0828"/>
    <w:rsid w:val="00CD5CF9"/>
    <w:rsid w:val="00CE3F15"/>
    <w:rsid w:val="00CE53D0"/>
    <w:rsid w:val="00D03D5B"/>
    <w:rsid w:val="00D1162D"/>
    <w:rsid w:val="00D25108"/>
    <w:rsid w:val="00D3657A"/>
    <w:rsid w:val="00D770A6"/>
    <w:rsid w:val="00D8718B"/>
    <w:rsid w:val="00DA7E5C"/>
    <w:rsid w:val="00DA7EB2"/>
    <w:rsid w:val="00DB4A40"/>
    <w:rsid w:val="00DC379A"/>
    <w:rsid w:val="00DC52F6"/>
    <w:rsid w:val="00DD1553"/>
    <w:rsid w:val="00DD5101"/>
    <w:rsid w:val="00DE7651"/>
    <w:rsid w:val="00E050B7"/>
    <w:rsid w:val="00E0526D"/>
    <w:rsid w:val="00E10FE7"/>
    <w:rsid w:val="00E22AF7"/>
    <w:rsid w:val="00E272F2"/>
    <w:rsid w:val="00E33958"/>
    <w:rsid w:val="00E340D7"/>
    <w:rsid w:val="00E41E26"/>
    <w:rsid w:val="00E4402B"/>
    <w:rsid w:val="00E46027"/>
    <w:rsid w:val="00E470BE"/>
    <w:rsid w:val="00E50383"/>
    <w:rsid w:val="00E633A0"/>
    <w:rsid w:val="00E77346"/>
    <w:rsid w:val="00E82820"/>
    <w:rsid w:val="00E86197"/>
    <w:rsid w:val="00E9130C"/>
    <w:rsid w:val="00E92711"/>
    <w:rsid w:val="00E93B02"/>
    <w:rsid w:val="00EA77C4"/>
    <w:rsid w:val="00EC01B5"/>
    <w:rsid w:val="00ED373D"/>
    <w:rsid w:val="00ED66A6"/>
    <w:rsid w:val="00EE1935"/>
    <w:rsid w:val="00EE7356"/>
    <w:rsid w:val="00EF5A3C"/>
    <w:rsid w:val="00EF5E93"/>
    <w:rsid w:val="00EF77DF"/>
    <w:rsid w:val="00F0796A"/>
    <w:rsid w:val="00F12151"/>
    <w:rsid w:val="00F223FF"/>
    <w:rsid w:val="00F3161F"/>
    <w:rsid w:val="00F36A1F"/>
    <w:rsid w:val="00F42E99"/>
    <w:rsid w:val="00F46AE2"/>
    <w:rsid w:val="00F55D38"/>
    <w:rsid w:val="00F65274"/>
    <w:rsid w:val="00F668DC"/>
    <w:rsid w:val="00F67B57"/>
    <w:rsid w:val="00F77D0C"/>
    <w:rsid w:val="00F8783E"/>
    <w:rsid w:val="00F95EDE"/>
    <w:rsid w:val="00FB2EE2"/>
    <w:rsid w:val="00FB37C7"/>
    <w:rsid w:val="00FB5524"/>
    <w:rsid w:val="00FC45EF"/>
    <w:rsid w:val="00FD6B6B"/>
    <w:rsid w:val="00FE3356"/>
    <w:rsid w:val="00FE3E7A"/>
    <w:rsid w:val="00FE43C3"/>
    <w:rsid w:val="00FF1700"/>
    <w:rsid w:val="00FF3CA0"/>
    <w:rsid w:val="00FF71A8"/>
    <w:rsid w:val="00FF7354"/>
    <w:rsid w:val="037801DD"/>
    <w:rsid w:val="0382F554"/>
    <w:rsid w:val="06A42A80"/>
    <w:rsid w:val="09731629"/>
    <w:rsid w:val="0BABBC1C"/>
    <w:rsid w:val="0C4166D0"/>
    <w:rsid w:val="0F09B254"/>
    <w:rsid w:val="155780EE"/>
    <w:rsid w:val="16EA9328"/>
    <w:rsid w:val="17493F07"/>
    <w:rsid w:val="19DE04C6"/>
    <w:rsid w:val="1BE830F1"/>
    <w:rsid w:val="1E6CC5B8"/>
    <w:rsid w:val="1E76647C"/>
    <w:rsid w:val="1EA6F65C"/>
    <w:rsid w:val="203582AC"/>
    <w:rsid w:val="21271D24"/>
    <w:rsid w:val="25CCD1D8"/>
    <w:rsid w:val="2700FDE6"/>
    <w:rsid w:val="276632AA"/>
    <w:rsid w:val="2CA774CD"/>
    <w:rsid w:val="2CD4F9F4"/>
    <w:rsid w:val="2CFABB56"/>
    <w:rsid w:val="2D2675AE"/>
    <w:rsid w:val="2FB29D54"/>
    <w:rsid w:val="30762232"/>
    <w:rsid w:val="31F40208"/>
    <w:rsid w:val="32DEBEB8"/>
    <w:rsid w:val="35A240A1"/>
    <w:rsid w:val="3619B012"/>
    <w:rsid w:val="374A4CDA"/>
    <w:rsid w:val="392ADC44"/>
    <w:rsid w:val="3D771ADD"/>
    <w:rsid w:val="3E2BC1CC"/>
    <w:rsid w:val="3E880AB0"/>
    <w:rsid w:val="3FB1EBF1"/>
    <w:rsid w:val="425ED16C"/>
    <w:rsid w:val="454C3126"/>
    <w:rsid w:val="46EDE17E"/>
    <w:rsid w:val="4859682B"/>
    <w:rsid w:val="48D9AA22"/>
    <w:rsid w:val="48EDEDDE"/>
    <w:rsid w:val="496D8841"/>
    <w:rsid w:val="49921440"/>
    <w:rsid w:val="4C3DF215"/>
    <w:rsid w:val="4DA5CE4C"/>
    <w:rsid w:val="4DC804DF"/>
    <w:rsid w:val="4E29360B"/>
    <w:rsid w:val="4E59C412"/>
    <w:rsid w:val="4E84E5DF"/>
    <w:rsid w:val="4E891683"/>
    <w:rsid w:val="4FE31FBA"/>
    <w:rsid w:val="57C14EEE"/>
    <w:rsid w:val="58AEF5ED"/>
    <w:rsid w:val="58E4E7AC"/>
    <w:rsid w:val="5DE43475"/>
    <w:rsid w:val="5F4B34F3"/>
    <w:rsid w:val="60157FBC"/>
    <w:rsid w:val="612BC623"/>
    <w:rsid w:val="617B25B7"/>
    <w:rsid w:val="62144A18"/>
    <w:rsid w:val="622A1F32"/>
    <w:rsid w:val="6341D57A"/>
    <w:rsid w:val="648D3F8D"/>
    <w:rsid w:val="64ED4D61"/>
    <w:rsid w:val="6531D095"/>
    <w:rsid w:val="67294D16"/>
    <w:rsid w:val="6786F246"/>
    <w:rsid w:val="67A67DB2"/>
    <w:rsid w:val="6964CD87"/>
    <w:rsid w:val="69677550"/>
    <w:rsid w:val="6A22C82C"/>
    <w:rsid w:val="6A5F9011"/>
    <w:rsid w:val="71CEC7FF"/>
    <w:rsid w:val="73457336"/>
    <w:rsid w:val="75874007"/>
    <w:rsid w:val="7A49DFA0"/>
    <w:rsid w:val="7F8753A8"/>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EDD9A"/>
  <w15:docId w15:val="{72480816-D688-4A4A-94B8-429B7B33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jc w:val="both"/>
      <w:outlineLvl w:val="1"/>
    </w:pPr>
    <w:rPr>
      <w:rFonts w:ascii="Tahoma" w:eastAsia="Tahoma" w:hAnsi="Tahoma" w:cs="Tahoma"/>
      <w:b/>
      <w:i/>
      <w:sz w:val="22"/>
      <w:szCs w:val="22"/>
      <w:u w:val="single"/>
    </w:rPr>
  </w:style>
  <w:style w:type="paragraph" w:styleId="Heading3">
    <w:name w:val="heading 3"/>
    <w:basedOn w:val="Normal"/>
    <w:next w:val="Normal"/>
    <w:uiPriority w:val="9"/>
    <w:semiHidden/>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rsid w:val="00840578"/>
    <w:pPr>
      <w:tabs>
        <w:tab w:val="center" w:pos="4320"/>
        <w:tab w:val="right" w:pos="8640"/>
      </w:tabs>
    </w:pPr>
  </w:style>
  <w:style w:type="character" w:customStyle="1" w:styleId="HeaderChar">
    <w:name w:val="Header Char"/>
    <w:basedOn w:val="DefaultParagraphFont"/>
    <w:link w:val="Header"/>
    <w:uiPriority w:val="99"/>
    <w:rsid w:val="00840578"/>
  </w:style>
  <w:style w:type="paragraph" w:styleId="Footer">
    <w:name w:val="footer"/>
    <w:basedOn w:val="Normal"/>
    <w:link w:val="FooterChar"/>
    <w:uiPriority w:val="99"/>
    <w:unhideWhenUsed/>
    <w:rsid w:val="00840578"/>
    <w:pPr>
      <w:tabs>
        <w:tab w:val="center" w:pos="4320"/>
        <w:tab w:val="right" w:pos="8640"/>
      </w:tabs>
    </w:pPr>
  </w:style>
  <w:style w:type="character" w:customStyle="1" w:styleId="FooterChar">
    <w:name w:val="Footer Char"/>
    <w:basedOn w:val="DefaultParagraphFont"/>
    <w:link w:val="Footer"/>
    <w:uiPriority w:val="99"/>
    <w:rsid w:val="00840578"/>
  </w:style>
  <w:style w:type="character" w:styleId="Hyperlink">
    <w:name w:val="Hyperlink"/>
    <w:basedOn w:val="DefaultParagraphFont"/>
    <w:uiPriority w:val="99"/>
    <w:unhideWhenUsed/>
    <w:rsid w:val="00C41091"/>
    <w:rPr>
      <w:color w:val="0000FF"/>
      <w:u w:val="single"/>
    </w:rPr>
  </w:style>
  <w:style w:type="character" w:customStyle="1" w:styleId="normaltextrun">
    <w:name w:val="normaltextrun"/>
    <w:basedOn w:val="DefaultParagraphFont"/>
    <w:rsid w:val="00A362A2"/>
  </w:style>
  <w:style w:type="table" w:styleId="TableGrid">
    <w:name w:val="Table Grid"/>
    <w:basedOn w:val="TableNormal"/>
    <w:uiPriority w:val="39"/>
    <w:rsid w:val="00B5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5F31"/>
    <w:pPr>
      <w:spacing w:before="100" w:beforeAutospacing="1" w:after="100" w:afterAutospacing="1"/>
    </w:pPr>
    <w:rPr>
      <w:sz w:val="24"/>
      <w:szCs w:val="24"/>
      <w:lang w:val="en-US" w:eastAsia="en-US"/>
    </w:rPr>
  </w:style>
  <w:style w:type="character" w:customStyle="1" w:styleId="eop">
    <w:name w:val="eop"/>
    <w:basedOn w:val="DefaultParagraphFont"/>
    <w:rsid w:val="005E5F31"/>
  </w:style>
  <w:style w:type="character" w:customStyle="1" w:styleId="UnresolvedMention1">
    <w:name w:val="Unresolved Mention1"/>
    <w:basedOn w:val="DefaultParagraphFont"/>
    <w:uiPriority w:val="99"/>
    <w:semiHidden/>
    <w:unhideWhenUsed/>
    <w:rsid w:val="00F67B57"/>
    <w:rPr>
      <w:color w:val="605E5C"/>
      <w:shd w:val="clear" w:color="auto" w:fill="E1DFDD"/>
    </w:rPr>
  </w:style>
  <w:style w:type="character" w:styleId="UnresolvedMention">
    <w:name w:val="Unresolved Mention"/>
    <w:basedOn w:val="DefaultParagraphFont"/>
    <w:uiPriority w:val="99"/>
    <w:semiHidden/>
    <w:unhideWhenUsed/>
    <w:rsid w:val="00430AF5"/>
    <w:rPr>
      <w:color w:val="605E5C"/>
      <w:shd w:val="clear" w:color="auto" w:fill="E1DFDD"/>
    </w:rPr>
  </w:style>
  <w:style w:type="character" w:customStyle="1" w:styleId="BodyTextChar">
    <w:name w:val="Body Text Char"/>
    <w:basedOn w:val="DefaultParagraphFont"/>
    <w:link w:val="BodyText"/>
    <w:rsid w:val="00677C8D"/>
    <w:rPr>
      <w:rFonts w:ascii="Calibri" w:eastAsia="Calibri" w:hAnsi="Calibri" w:cs="Calibri"/>
      <w:color w:val="222222"/>
    </w:rPr>
  </w:style>
  <w:style w:type="paragraph" w:styleId="BodyText">
    <w:name w:val="Body Text"/>
    <w:basedOn w:val="Normal"/>
    <w:link w:val="BodyTextChar"/>
    <w:qFormat/>
    <w:rsid w:val="00677C8D"/>
    <w:pPr>
      <w:widowControl w:val="0"/>
      <w:spacing w:after="140" w:line="293" w:lineRule="auto"/>
    </w:pPr>
    <w:rPr>
      <w:rFonts w:ascii="Calibri" w:eastAsia="Calibri" w:hAnsi="Calibri" w:cs="Calibri"/>
      <w:color w:val="222222"/>
    </w:rPr>
  </w:style>
  <w:style w:type="character" w:customStyle="1" w:styleId="BodyTextChar1">
    <w:name w:val="Body Text Char1"/>
    <w:basedOn w:val="DefaultParagraphFont"/>
    <w:uiPriority w:val="99"/>
    <w:semiHidden/>
    <w:rsid w:val="00677C8D"/>
  </w:style>
  <w:style w:type="character" w:customStyle="1" w:styleId="Heading11">
    <w:name w:val="Heading 11"/>
    <w:basedOn w:val="DefaultParagraphFont"/>
    <w:rsid w:val="00337FE8"/>
    <w:rPr>
      <w:rFonts w:ascii="Calibri" w:eastAsia="Calibri" w:hAnsi="Calibri" w:cs="Calibri"/>
      <w:b/>
      <w:bCs/>
      <w:i w:val="0"/>
      <w:iCs w:val="0"/>
      <w:smallCaps w:val="0"/>
      <w:strike w:val="0"/>
      <w:u w:val="single"/>
    </w:rPr>
  </w:style>
  <w:style w:type="character" w:customStyle="1" w:styleId="ListParagraphChar">
    <w:name w:val="List Paragraph Char"/>
    <w:link w:val="ListParagraph"/>
    <w:uiPriority w:val="34"/>
    <w:locked/>
    <w:rsid w:val="00337FE8"/>
  </w:style>
  <w:style w:type="paragraph" w:styleId="FootnoteText">
    <w:name w:val="footnote text"/>
    <w:basedOn w:val="Normal"/>
    <w:link w:val="FootnoteTextChar"/>
    <w:uiPriority w:val="99"/>
    <w:semiHidden/>
    <w:unhideWhenUsed/>
    <w:rsid w:val="00337FE8"/>
    <w:pPr>
      <w:widowControl w:val="0"/>
    </w:pPr>
    <w:rPr>
      <w:rFonts w:ascii="Arial Unicode MS" w:eastAsia="Arial Unicode MS" w:hAnsi="Arial Unicode MS" w:cs="Arial Unicode MS"/>
      <w:color w:val="000000"/>
      <w:lang w:eastAsia="el-GR" w:bidi="el-GR"/>
    </w:rPr>
  </w:style>
  <w:style w:type="character" w:customStyle="1" w:styleId="FootnoteTextChar">
    <w:name w:val="Footnote Text Char"/>
    <w:basedOn w:val="DefaultParagraphFont"/>
    <w:link w:val="FootnoteText"/>
    <w:uiPriority w:val="99"/>
    <w:semiHidden/>
    <w:rsid w:val="00337FE8"/>
    <w:rPr>
      <w:rFonts w:ascii="Arial Unicode MS" w:eastAsia="Arial Unicode MS" w:hAnsi="Arial Unicode MS" w:cs="Arial Unicode MS"/>
      <w:color w:val="000000"/>
      <w:lang w:eastAsia="el-GR" w:bidi="el-GR"/>
    </w:rPr>
  </w:style>
  <w:style w:type="character" w:styleId="FootnoteReference">
    <w:name w:val="footnote reference"/>
    <w:basedOn w:val="DefaultParagraphFont"/>
    <w:uiPriority w:val="99"/>
    <w:semiHidden/>
    <w:unhideWhenUsed/>
    <w:rsid w:val="00337FE8"/>
    <w:rPr>
      <w:vertAlign w:val="superscript"/>
    </w:rPr>
  </w:style>
  <w:style w:type="character" w:customStyle="1" w:styleId="findhit">
    <w:name w:val="findhit"/>
    <w:basedOn w:val="DefaultParagraphFont"/>
    <w:rsid w:val="00337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52490">
      <w:bodyDiv w:val="1"/>
      <w:marLeft w:val="0"/>
      <w:marRight w:val="0"/>
      <w:marTop w:val="0"/>
      <w:marBottom w:val="0"/>
      <w:divBdr>
        <w:top w:val="none" w:sz="0" w:space="0" w:color="auto"/>
        <w:left w:val="none" w:sz="0" w:space="0" w:color="auto"/>
        <w:bottom w:val="none" w:sz="0" w:space="0" w:color="auto"/>
        <w:right w:val="none" w:sz="0" w:space="0" w:color="auto"/>
      </w:divBdr>
      <w:divsChild>
        <w:div w:id="15422705">
          <w:marLeft w:val="0"/>
          <w:marRight w:val="0"/>
          <w:marTop w:val="0"/>
          <w:marBottom w:val="0"/>
          <w:divBdr>
            <w:top w:val="none" w:sz="0" w:space="0" w:color="auto"/>
            <w:left w:val="none" w:sz="0" w:space="0" w:color="auto"/>
            <w:bottom w:val="none" w:sz="0" w:space="0" w:color="auto"/>
            <w:right w:val="none" w:sz="0" w:space="0" w:color="auto"/>
          </w:divBdr>
        </w:div>
        <w:div w:id="56128560">
          <w:marLeft w:val="0"/>
          <w:marRight w:val="0"/>
          <w:marTop w:val="0"/>
          <w:marBottom w:val="0"/>
          <w:divBdr>
            <w:top w:val="none" w:sz="0" w:space="0" w:color="auto"/>
            <w:left w:val="none" w:sz="0" w:space="0" w:color="auto"/>
            <w:bottom w:val="none" w:sz="0" w:space="0" w:color="auto"/>
            <w:right w:val="none" w:sz="0" w:space="0" w:color="auto"/>
          </w:divBdr>
        </w:div>
        <w:div w:id="367991044">
          <w:marLeft w:val="0"/>
          <w:marRight w:val="0"/>
          <w:marTop w:val="0"/>
          <w:marBottom w:val="0"/>
          <w:divBdr>
            <w:top w:val="none" w:sz="0" w:space="0" w:color="auto"/>
            <w:left w:val="none" w:sz="0" w:space="0" w:color="auto"/>
            <w:bottom w:val="none" w:sz="0" w:space="0" w:color="auto"/>
            <w:right w:val="none" w:sz="0" w:space="0" w:color="auto"/>
          </w:divBdr>
        </w:div>
        <w:div w:id="587153788">
          <w:marLeft w:val="0"/>
          <w:marRight w:val="0"/>
          <w:marTop w:val="0"/>
          <w:marBottom w:val="0"/>
          <w:divBdr>
            <w:top w:val="none" w:sz="0" w:space="0" w:color="auto"/>
            <w:left w:val="none" w:sz="0" w:space="0" w:color="auto"/>
            <w:bottom w:val="none" w:sz="0" w:space="0" w:color="auto"/>
            <w:right w:val="none" w:sz="0" w:space="0" w:color="auto"/>
          </w:divBdr>
        </w:div>
        <w:div w:id="588346877">
          <w:marLeft w:val="0"/>
          <w:marRight w:val="0"/>
          <w:marTop w:val="0"/>
          <w:marBottom w:val="0"/>
          <w:divBdr>
            <w:top w:val="none" w:sz="0" w:space="0" w:color="auto"/>
            <w:left w:val="none" w:sz="0" w:space="0" w:color="auto"/>
            <w:bottom w:val="none" w:sz="0" w:space="0" w:color="auto"/>
            <w:right w:val="none" w:sz="0" w:space="0" w:color="auto"/>
          </w:divBdr>
        </w:div>
        <w:div w:id="1133211277">
          <w:marLeft w:val="0"/>
          <w:marRight w:val="0"/>
          <w:marTop w:val="0"/>
          <w:marBottom w:val="0"/>
          <w:divBdr>
            <w:top w:val="none" w:sz="0" w:space="0" w:color="auto"/>
            <w:left w:val="none" w:sz="0" w:space="0" w:color="auto"/>
            <w:bottom w:val="none" w:sz="0" w:space="0" w:color="auto"/>
            <w:right w:val="none" w:sz="0" w:space="0" w:color="auto"/>
          </w:divBdr>
        </w:div>
        <w:div w:id="1532764350">
          <w:marLeft w:val="0"/>
          <w:marRight w:val="0"/>
          <w:marTop w:val="0"/>
          <w:marBottom w:val="0"/>
          <w:divBdr>
            <w:top w:val="none" w:sz="0" w:space="0" w:color="auto"/>
            <w:left w:val="none" w:sz="0" w:space="0" w:color="auto"/>
            <w:bottom w:val="none" w:sz="0" w:space="0" w:color="auto"/>
            <w:right w:val="none" w:sz="0" w:space="0" w:color="auto"/>
          </w:divBdr>
        </w:div>
        <w:div w:id="1622688827">
          <w:marLeft w:val="0"/>
          <w:marRight w:val="0"/>
          <w:marTop w:val="0"/>
          <w:marBottom w:val="0"/>
          <w:divBdr>
            <w:top w:val="none" w:sz="0" w:space="0" w:color="auto"/>
            <w:left w:val="none" w:sz="0" w:space="0" w:color="auto"/>
            <w:bottom w:val="none" w:sz="0" w:space="0" w:color="auto"/>
            <w:right w:val="none" w:sz="0" w:space="0" w:color="auto"/>
          </w:divBdr>
        </w:div>
        <w:div w:id="1721593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rporatebondsservices@piraeusbank.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4f83c-9f7c-4d69-9c0a-23e965ab5252">
      <Terms xmlns="http://schemas.microsoft.com/office/infopath/2007/PartnerControls"/>
    </lcf76f155ced4ddcb4097134ff3c332f>
    <TaxCatchAll xmlns="373f73b7-cd36-4a90-b985-66ec8109e4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D241A3440FB4795DEA88F5BBD5CE1" ma:contentTypeVersion="17" ma:contentTypeDescription="Create a new document." ma:contentTypeScope="" ma:versionID="2a402df5101744076c3fda99efc125b1">
  <xsd:schema xmlns:xsd="http://www.w3.org/2001/XMLSchema" xmlns:xs="http://www.w3.org/2001/XMLSchema" xmlns:p="http://schemas.microsoft.com/office/2006/metadata/properties" xmlns:ns2="cd84f83c-9f7c-4d69-9c0a-23e965ab5252" xmlns:ns3="373f73b7-cd36-4a90-b985-66ec8109e4fc" targetNamespace="http://schemas.microsoft.com/office/2006/metadata/properties" ma:root="true" ma:fieldsID="a1b2faccd6993647b6629b0e2cbace73" ns2:_="" ns3:_="">
    <xsd:import namespace="cd84f83c-9f7c-4d69-9c0a-23e965ab5252"/>
    <xsd:import namespace="373f73b7-cd36-4a90-b985-66ec8109e4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4f83c-9f7c-4d69-9c0a-23e965ab5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efdcbc-f538-4260-9a8a-585cac1d8a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f73b7-cd36-4a90-b985-66ec8109e4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e73d971-5a1d-454f-922f-8309594f9d86}" ma:internalName="TaxCatchAll" ma:showField="CatchAllData" ma:web="373f73b7-cd36-4a90-b985-66ec8109e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C1E27-5C9A-4C6E-9D6B-261013D7489E}">
  <ds:schemaRefs>
    <ds:schemaRef ds:uri="http://schemas.microsoft.com/sharepoint/v3/contenttype/forms"/>
  </ds:schemaRefs>
</ds:datastoreItem>
</file>

<file path=customXml/itemProps2.xml><?xml version="1.0" encoding="utf-8"?>
<ds:datastoreItem xmlns:ds="http://schemas.openxmlformats.org/officeDocument/2006/customXml" ds:itemID="{DB49E075-DD7D-4B47-AADE-D3951A35BF54}">
  <ds:schemaRefs>
    <ds:schemaRef ds:uri="http://schemas.microsoft.com/office/2006/metadata/properties"/>
    <ds:schemaRef ds:uri="http://schemas.microsoft.com/office/infopath/2007/PartnerControls"/>
    <ds:schemaRef ds:uri="cd84f83c-9f7c-4d69-9c0a-23e965ab5252"/>
    <ds:schemaRef ds:uri="373f73b7-cd36-4a90-b985-66ec8109e4fc"/>
  </ds:schemaRefs>
</ds:datastoreItem>
</file>

<file path=customXml/itemProps3.xml><?xml version="1.0" encoding="utf-8"?>
<ds:datastoreItem xmlns:ds="http://schemas.openxmlformats.org/officeDocument/2006/customXml" ds:itemID="{50C5DD90-03A2-4A00-9FD1-E2B63C9F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4f83c-9f7c-4d69-9c0a-23e965ab5252"/>
    <ds:schemaRef ds:uri="373f73b7-cd36-4a90-b985-66ec8109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Kampyli</dc:creator>
  <cp:keywords/>
  <cp:lastModifiedBy>Katerina Psifi</cp:lastModifiedBy>
  <cp:revision>270</cp:revision>
  <cp:lastPrinted>2025-02-17T15:57:00Z</cp:lastPrinted>
  <dcterms:created xsi:type="dcterms:W3CDTF">2021-05-15T03:03:00Z</dcterms:created>
  <dcterms:modified xsi:type="dcterms:W3CDTF">2025-02-19T12:12:00Z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0x010100E07D241A3440FB4795DEA88F5BBD5CE1</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